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ind w:firstLine="0" w:firstLineChars="0"/>
        <w:rPr>
          <w:rFonts w:ascii="仿宋" w:hAnsi="仿宋" w:eastAsia="仿宋"/>
          <w:sz w:val="32"/>
          <w:szCs w:val="32"/>
        </w:rPr>
      </w:pPr>
    </w:p>
    <w:p/>
    <w:p>
      <w:pPr>
        <w:pStyle w:val="2"/>
        <w:rPr>
          <w:lang w:bidi="ar"/>
        </w:rPr>
      </w:pPr>
    </w:p>
    <w:p>
      <w:pPr>
        <w:widowControl/>
        <w:jc w:val="center"/>
        <w:rPr>
          <w:rFonts w:ascii="黑体" w:hAnsi="宋体" w:eastAsia="黑体" w:cs="黑体"/>
          <w:color w:val="000000"/>
          <w:kern w:val="0"/>
          <w:sz w:val="52"/>
          <w:szCs w:val="52"/>
          <w:lang w:bidi="ar"/>
        </w:rPr>
      </w:pPr>
      <w:r>
        <w:rPr>
          <w:rFonts w:hint="eastAsia" w:ascii="黑体" w:hAnsi="宋体" w:eastAsia="黑体" w:cs="黑体"/>
          <w:color w:val="000000"/>
          <w:kern w:val="0"/>
          <w:sz w:val="52"/>
          <w:szCs w:val="52"/>
          <w:lang w:bidi="ar"/>
        </w:rPr>
        <w:t>滁州学院真实项目案例库</w:t>
      </w:r>
    </w:p>
    <w:p>
      <w:pPr>
        <w:widowControl/>
        <w:jc w:val="center"/>
        <w:rPr>
          <w:rFonts w:hint="default" w:ascii="黑体" w:hAnsi="宋体" w:eastAsia="黑体" w:cs="黑体"/>
          <w:color w:val="000000"/>
          <w:kern w:val="0"/>
          <w:sz w:val="52"/>
          <w:szCs w:val="52"/>
          <w:lang w:val="en-US" w:eastAsia="zh-CN" w:bidi="ar"/>
        </w:rPr>
      </w:pPr>
      <w:r>
        <w:rPr>
          <w:rFonts w:hint="eastAsia" w:ascii="黑体" w:hAnsi="宋体" w:eastAsia="黑体" w:cs="黑体"/>
          <w:color w:val="000000"/>
          <w:kern w:val="0"/>
          <w:sz w:val="52"/>
          <w:szCs w:val="52"/>
          <w:lang w:val="en-US" w:eastAsia="zh-CN" w:bidi="ar"/>
        </w:rPr>
        <w:t>福建省</w:t>
      </w:r>
    </w:p>
    <w:p>
      <w:pPr>
        <w:jc w:val="center"/>
        <w:rPr>
          <w:b/>
          <w:sz w:val="36"/>
        </w:rPr>
      </w:pPr>
    </w:p>
    <w:p>
      <w:pPr>
        <w:jc w:val="center"/>
        <w:rPr>
          <w:rFonts w:hint="default" w:eastAsiaTheme="minorEastAsia"/>
          <w:b/>
          <w:sz w:val="36"/>
          <w:lang w:val="en-US" w:eastAsia="zh-CN"/>
        </w:rPr>
      </w:pPr>
      <w:r>
        <w:rPr>
          <w:rFonts w:hint="eastAsia"/>
          <w:b/>
          <w:sz w:val="36"/>
          <w:lang w:val="en-US" w:eastAsia="zh-CN"/>
        </w:rPr>
        <w:t>2023年3月</w:t>
      </w:r>
    </w:p>
    <w:p>
      <w:pPr>
        <w:jc w:val="center"/>
        <w:rPr>
          <w:b/>
          <w:sz w:val="72"/>
        </w:rPr>
      </w:pPr>
    </w:p>
    <w:p/>
    <w:p/>
    <w:p/>
    <w:p/>
    <w:tbl>
      <w:tblPr>
        <w:tblStyle w:val="7"/>
        <w:tblW w:w="0" w:type="auto"/>
        <w:tblInd w:w="1205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50"/>
        <w:gridCol w:w="3862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50" w:type="dxa"/>
            <w:tcBorders>
              <w:tl2br w:val="nil"/>
              <w:tr2bl w:val="nil"/>
            </w:tcBorders>
          </w:tcPr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lang w:val="en-US" w:eastAsia="zh-CN"/>
              </w:rPr>
              <w:t>课程名称</w:t>
            </w:r>
          </w:p>
        </w:tc>
        <w:tc>
          <w:tcPr>
            <w:tcW w:w="3862" w:type="dxa"/>
            <w:tcBorders>
              <w:bottom w:val="single" w:color="auto" w:sz="4" w:space="0"/>
            </w:tcBorders>
          </w:tcPr>
          <w:p>
            <w:pPr>
              <w:jc w:val="center"/>
              <w:rPr>
                <w:rFonts w:hint="default" w:eastAsiaTheme="minorEastAsia"/>
                <w:sz w:val="30"/>
                <w:lang w:val="en-US" w:eastAsia="zh-CN"/>
              </w:rPr>
            </w:pPr>
            <w:r>
              <w:rPr>
                <w:rFonts w:hint="eastAsia"/>
                <w:sz w:val="30"/>
                <w:lang w:val="en-US" w:eastAsia="zh-CN"/>
              </w:rPr>
              <w:t>导游基础知识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50" w:type="dxa"/>
            <w:tcBorders>
              <w:tl2br w:val="nil"/>
              <w:tr2bl w:val="nil"/>
            </w:tcBorders>
          </w:tcPr>
          <w:p>
            <w:pPr>
              <w:rPr>
                <w:rFonts w:hint="eastAsia"/>
                <w:sz w:val="30"/>
              </w:rPr>
            </w:pPr>
          </w:p>
        </w:tc>
        <w:tc>
          <w:tcPr>
            <w:tcW w:w="3862" w:type="dxa"/>
            <w:tcBorders>
              <w:top w:val="single" w:color="auto" w:sz="4" w:space="0"/>
              <w:bottom w:val="nil"/>
            </w:tcBorders>
          </w:tcPr>
          <w:p>
            <w:pPr>
              <w:rPr>
                <w:rFonts w:hint="eastAsia"/>
                <w:sz w:val="3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50" w:type="dxa"/>
            <w:tcBorders>
              <w:tl2br w:val="nil"/>
              <w:tr2bl w:val="nil"/>
            </w:tcBorders>
          </w:tcPr>
          <w:p>
            <w:pPr>
              <w:rPr>
                <w:vertAlign w:val="baseline"/>
              </w:rPr>
            </w:pPr>
            <w:r>
              <w:rPr>
                <w:rFonts w:hint="eastAsia"/>
                <w:sz w:val="30"/>
              </w:rPr>
              <w:t>编写负责人姓名：</w:t>
            </w:r>
          </w:p>
        </w:tc>
        <w:tc>
          <w:tcPr>
            <w:tcW w:w="3862" w:type="dxa"/>
            <w:tcBorders>
              <w:top w:val="nil"/>
              <w:bottom w:val="single" w:color="auto" w:sz="4" w:space="0"/>
            </w:tcBorders>
          </w:tcPr>
          <w:p>
            <w:pPr>
              <w:jc w:val="center"/>
              <w:rPr>
                <w:rFonts w:hint="default" w:eastAsiaTheme="minorEastAsia"/>
                <w:sz w:val="30"/>
                <w:lang w:val="en-US" w:eastAsia="zh-CN"/>
              </w:rPr>
            </w:pPr>
            <w:r>
              <w:rPr>
                <w:rFonts w:hint="eastAsia"/>
                <w:sz w:val="30"/>
                <w:lang w:val="en-US" w:eastAsia="zh-CN"/>
              </w:rPr>
              <w:t>潘  立  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50" w:type="dxa"/>
            <w:tcBorders>
              <w:tl2br w:val="nil"/>
              <w:tr2bl w:val="nil"/>
            </w:tcBorders>
          </w:tcPr>
          <w:p>
            <w:pPr>
              <w:rPr>
                <w:rFonts w:hint="eastAsia"/>
                <w:sz w:val="30"/>
              </w:rPr>
            </w:pPr>
          </w:p>
        </w:tc>
        <w:tc>
          <w:tcPr>
            <w:tcW w:w="3862" w:type="dxa"/>
            <w:tcBorders>
              <w:top w:val="single" w:color="auto" w:sz="4" w:space="0"/>
              <w:bottom w:val="nil"/>
            </w:tcBorders>
          </w:tcPr>
          <w:p>
            <w:pPr>
              <w:rPr>
                <w:rFonts w:hint="eastAsia"/>
                <w:sz w:val="3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50" w:type="dxa"/>
            <w:tcBorders>
              <w:tl2br w:val="nil"/>
              <w:tr2bl w:val="nil"/>
            </w:tcBorders>
          </w:tcPr>
          <w:p>
            <w:pPr>
              <w:rPr>
                <w:vertAlign w:val="baseline"/>
              </w:rPr>
            </w:pPr>
            <w:r>
              <w:rPr>
                <w:rFonts w:hint="eastAsia"/>
                <w:sz w:val="30"/>
              </w:rPr>
              <w:t xml:space="preserve">联系电话：      </w:t>
            </w:r>
          </w:p>
        </w:tc>
        <w:tc>
          <w:tcPr>
            <w:tcW w:w="3862" w:type="dxa"/>
            <w:tcBorders>
              <w:top w:val="nil"/>
              <w:bottom w:val="single" w:color="auto" w:sz="4" w:space="0"/>
            </w:tcBorders>
          </w:tcPr>
          <w:p>
            <w:pPr>
              <w:jc w:val="center"/>
              <w:rPr>
                <w:rFonts w:hint="default" w:eastAsiaTheme="minorEastAsia"/>
                <w:sz w:val="30"/>
                <w:lang w:val="en-US" w:eastAsia="zh-CN"/>
              </w:rPr>
            </w:pPr>
            <w:r>
              <w:rPr>
                <w:rFonts w:hint="eastAsia"/>
                <w:sz w:val="30"/>
                <w:lang w:val="en-US" w:eastAsia="zh-CN"/>
              </w:rPr>
              <w:t>13866522168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50" w:type="dxa"/>
            <w:tcBorders>
              <w:tl2br w:val="nil"/>
              <w:tr2bl w:val="nil"/>
            </w:tcBorders>
          </w:tcPr>
          <w:p>
            <w:pPr>
              <w:rPr>
                <w:rFonts w:hint="eastAsia"/>
                <w:sz w:val="30"/>
              </w:rPr>
            </w:pPr>
          </w:p>
        </w:tc>
        <w:tc>
          <w:tcPr>
            <w:tcW w:w="3862" w:type="dxa"/>
            <w:tcBorders>
              <w:top w:val="single" w:color="auto" w:sz="4" w:space="0"/>
              <w:bottom w:val="nil"/>
            </w:tcBorders>
          </w:tcPr>
          <w:p>
            <w:pPr>
              <w:rPr>
                <w:rFonts w:hint="eastAsia"/>
                <w:sz w:val="3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50" w:type="dxa"/>
            <w:tcBorders>
              <w:tl2br w:val="nil"/>
              <w:tr2bl w:val="nil"/>
            </w:tcBorders>
          </w:tcPr>
          <w:p>
            <w:pPr>
              <w:rPr>
                <w:vertAlign w:val="baseline"/>
              </w:rPr>
            </w:pPr>
            <w:r>
              <w:rPr>
                <w:rFonts w:hint="eastAsia"/>
                <w:sz w:val="30"/>
              </w:rPr>
              <w:t xml:space="preserve">院（部）名称：  </w:t>
            </w:r>
          </w:p>
        </w:tc>
        <w:tc>
          <w:tcPr>
            <w:tcW w:w="3862" w:type="dxa"/>
            <w:tcBorders>
              <w:top w:val="nil"/>
              <w:bottom w:val="single" w:color="auto" w:sz="4" w:space="0"/>
            </w:tcBorders>
          </w:tcPr>
          <w:p>
            <w:pPr>
              <w:jc w:val="center"/>
              <w:rPr>
                <w:rFonts w:hint="default" w:eastAsiaTheme="minorEastAsia"/>
                <w:sz w:val="30"/>
                <w:lang w:val="en-US" w:eastAsia="zh-CN"/>
              </w:rPr>
            </w:pPr>
            <w:r>
              <w:rPr>
                <w:rFonts w:hint="eastAsia"/>
                <w:sz w:val="30"/>
                <w:lang w:val="en-US" w:eastAsia="zh-CN"/>
              </w:rPr>
              <w:t>地理信息与旅游学院</w:t>
            </w:r>
          </w:p>
        </w:tc>
      </w:tr>
    </w:tbl>
    <w:p/>
    <w:p>
      <w:pPr>
        <w:jc w:val="center"/>
        <w:rPr>
          <w:b/>
          <w:sz w:val="30"/>
        </w:rPr>
      </w:pPr>
    </w:p>
    <w:p>
      <w:pPr>
        <w:pStyle w:val="2"/>
        <w:sectPr>
          <w:footerReference r:id="rId3" w:type="default"/>
          <w:pgSz w:w="11906" w:h="16838"/>
          <w:pgMar w:top="1440" w:right="1800" w:bottom="1440" w:left="1800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425" w:num="1"/>
          <w:docGrid w:type="lines" w:linePitch="312" w:charSpace="0"/>
        </w:sectPr>
      </w:pPr>
    </w:p>
    <w:p>
      <w:pPr>
        <w:widowControl/>
        <w:jc w:val="center"/>
        <w:rPr>
          <w:rFonts w:ascii="黑体" w:hAnsi="黑体" w:eastAsia="黑体" w:cs="黑体"/>
          <w:b/>
          <w:bCs/>
          <w:color w:val="000000"/>
          <w:kern w:val="0"/>
          <w:sz w:val="32"/>
          <w:szCs w:val="32"/>
          <w:lang w:bidi="ar"/>
        </w:rPr>
      </w:pPr>
      <w:r>
        <w:rPr>
          <w:rFonts w:hint="eastAsia" w:ascii="黑体" w:hAnsi="黑体" w:eastAsia="黑体" w:cs="黑体"/>
          <w:b/>
          <w:bCs/>
          <w:color w:val="000000"/>
          <w:kern w:val="0"/>
          <w:sz w:val="32"/>
          <w:szCs w:val="32"/>
          <w:lang w:val="en-US" w:eastAsia="zh-CN" w:bidi="ar"/>
        </w:rPr>
        <w:t>《导游基础知识》</w:t>
      </w:r>
      <w:r>
        <w:rPr>
          <w:rFonts w:hint="eastAsia" w:ascii="黑体" w:hAnsi="黑体" w:eastAsia="黑体" w:cs="黑体"/>
          <w:b/>
          <w:bCs/>
          <w:color w:val="000000"/>
          <w:kern w:val="0"/>
          <w:sz w:val="32"/>
          <w:szCs w:val="32"/>
          <w:lang w:bidi="ar"/>
        </w:rPr>
        <w:t>课程真实项目案例库</w:t>
      </w: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30"/>
        <w:gridCol w:w="2130"/>
        <w:gridCol w:w="2131"/>
        <w:gridCol w:w="21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>
            <w:pPr>
              <w:widowControl/>
              <w:jc w:val="distribute"/>
              <w:rPr>
                <w:rFonts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课程名称</w:t>
            </w:r>
          </w:p>
        </w:tc>
        <w:tc>
          <w:tcPr>
            <w:tcW w:w="2130" w:type="dxa"/>
          </w:tcPr>
          <w:p>
            <w:pPr>
              <w:widowControl/>
              <w:jc w:val="center"/>
              <w:rPr>
                <w:rFonts w:hint="default" w:ascii="仿宋_GB2312" w:hAnsi="仿宋_GB2312" w:eastAsia="仿宋_GB2312" w:cs="仿宋_GB2312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val="en-US" w:eastAsia="zh-CN" w:bidi="ar"/>
              </w:rPr>
              <w:t>导游基础知识</w:t>
            </w:r>
          </w:p>
        </w:tc>
        <w:tc>
          <w:tcPr>
            <w:tcW w:w="2131" w:type="dxa"/>
          </w:tcPr>
          <w:p>
            <w:pPr>
              <w:widowControl/>
              <w:jc w:val="distribute"/>
              <w:rPr>
                <w:rFonts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学时</w:t>
            </w:r>
          </w:p>
        </w:tc>
        <w:tc>
          <w:tcPr>
            <w:tcW w:w="2131" w:type="dxa"/>
          </w:tcPr>
          <w:p>
            <w:pPr>
              <w:widowControl/>
              <w:jc w:val="center"/>
              <w:rPr>
                <w:rFonts w:hint="default" w:ascii="仿宋_GB2312" w:hAnsi="仿宋_GB2312" w:eastAsia="仿宋_GB2312" w:cs="仿宋_GB2312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val="en-US" w:eastAsia="zh-CN" w:bidi="ar"/>
              </w:rPr>
              <w:t>32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>
            <w:pPr>
              <w:widowControl/>
              <w:jc w:val="distribute"/>
              <w:rPr>
                <w:rFonts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适用专业</w:t>
            </w:r>
          </w:p>
        </w:tc>
        <w:tc>
          <w:tcPr>
            <w:tcW w:w="2130" w:type="dxa"/>
          </w:tcPr>
          <w:p>
            <w:pPr>
              <w:widowControl/>
              <w:jc w:val="center"/>
              <w:rPr>
                <w:rFonts w:hint="default" w:ascii="仿宋_GB2312" w:hAnsi="仿宋_GB2312" w:eastAsia="仿宋_GB2312" w:cs="仿宋_GB2312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val="en-US" w:eastAsia="zh-CN" w:bidi="ar"/>
              </w:rPr>
              <w:t>旅游管理</w:t>
            </w:r>
          </w:p>
        </w:tc>
        <w:tc>
          <w:tcPr>
            <w:tcW w:w="2131" w:type="dxa"/>
          </w:tcPr>
          <w:p>
            <w:pPr>
              <w:widowControl/>
              <w:jc w:val="distribute"/>
              <w:rPr>
                <w:rFonts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适用年级</w:t>
            </w:r>
          </w:p>
        </w:tc>
        <w:tc>
          <w:tcPr>
            <w:tcW w:w="2131" w:type="dxa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val="en-US" w:eastAsia="zh-CN" w:bidi="ar"/>
              </w:rPr>
              <w:t>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>
            <w:pPr>
              <w:widowControl/>
              <w:jc w:val="distribute"/>
              <w:rPr>
                <w:rFonts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制订人</w:t>
            </w:r>
          </w:p>
        </w:tc>
        <w:tc>
          <w:tcPr>
            <w:tcW w:w="2130" w:type="dxa"/>
          </w:tcPr>
          <w:p>
            <w:pPr>
              <w:widowControl/>
              <w:jc w:val="center"/>
              <w:rPr>
                <w:rFonts w:hint="default" w:ascii="仿宋_GB2312" w:hAnsi="仿宋_GB2312" w:eastAsia="仿宋_GB2312" w:cs="仿宋_GB2312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val="en-US" w:eastAsia="zh-CN" w:bidi="ar"/>
              </w:rPr>
              <w:t>潘立新</w:t>
            </w:r>
          </w:p>
        </w:tc>
        <w:tc>
          <w:tcPr>
            <w:tcW w:w="2131" w:type="dxa"/>
          </w:tcPr>
          <w:p>
            <w:pPr>
              <w:widowControl/>
              <w:jc w:val="distribute"/>
              <w:rPr>
                <w:rFonts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时间</w:t>
            </w:r>
          </w:p>
        </w:tc>
        <w:tc>
          <w:tcPr>
            <w:tcW w:w="2131" w:type="dxa"/>
          </w:tcPr>
          <w:p>
            <w:pPr>
              <w:widowControl/>
              <w:jc w:val="center"/>
              <w:rPr>
                <w:rFonts w:hint="default" w:ascii="仿宋_GB2312" w:hAnsi="仿宋_GB2312" w:eastAsia="仿宋_GB2312" w:cs="仿宋_GB2312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val="en-US" w:eastAsia="zh-CN" w:bidi="ar"/>
              </w:rPr>
              <w:t>2023.3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  <w:vMerge w:val="restart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课程目标</w:t>
            </w:r>
          </w:p>
        </w:tc>
        <w:tc>
          <w:tcPr>
            <w:tcW w:w="6392" w:type="dxa"/>
            <w:gridSpan w:val="3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2" w:firstLineChars="200"/>
              <w:jc w:val="left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目标1：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正确认识课程的性质、任务及其研究对象，形成导游基础知识的整体框架体系，基本的理论基础与必要的实践能力，具有导游人员基本的知识储备。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  <w:vMerge w:val="continue"/>
          </w:tcPr>
          <w:p>
            <w:pPr>
              <w:widowControl/>
              <w:jc w:val="distribute"/>
              <w:rPr>
                <w:rFonts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6392" w:type="dxa"/>
            <w:gridSpan w:val="3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2" w:firstLineChars="200"/>
              <w:jc w:val="left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目标2：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通过本课程学习，使学生能系统地掌握全国各省市自治区导游基础知识；掌握地方导游基础知识的基本理论、基本概念、基本知识和基本内容，了解学科发展的新理论与新思想。提升学生专业文化素质，提高学生导游讲解水平。通过归纳总结全国旅游发展过程中存在的问题及解决途径，了解对本地旅游资源开发及保护的关系，形成正确的人地协调发展的情感、态度和价值观。通过学习本课程，提高理论联系实践的水平与能力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  <w:vMerge w:val="continue"/>
          </w:tcPr>
          <w:p>
            <w:pPr>
              <w:widowControl/>
              <w:jc w:val="distribute"/>
              <w:rPr>
                <w:rFonts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6392" w:type="dxa"/>
            <w:gridSpan w:val="3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目标3：加强理论与实践结合，在完成基本理论原理教学基础上，积极开展实践教学，提高学生分析问题与解决实际问题的能力。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（1）培养学生对中华传统文化的理解和认知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通过中国传统文化的支撑，传承和创新中华优秀传统文化，积极引导当代学生树立正确的国家观、民族观、历史观、文化观，深化学生的文化自信。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left"/>
              <w:textAlignment w:val="auto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（2）坚持以德为本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要求学生坚持以德立身、以德立学、以德施教，注重加强对学生的世界观、人生观和价值观的教育，促进和谐社会发展进步；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left"/>
              <w:textAlignment w:val="auto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（3）进行爱国主义、集体主义教育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从旅游基础知识出发，培养学生的爱国主义情怀，引人以大道、启人以大智，使学生成长为栋梁之材。在中国共产党的领导下，我们的祖国正在走向繁荣昌盛，没有强大的祖国，就没有我们今天的自由生活，要为祖国繁荣富强而努力学习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（4）宣扬改革创新为核心的时代精神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在“导游基础知识”融入改革创新的时代精神，开放思想观念，突破陈规、大胆探索、敢于创造。教育引导学生要有责任感与使命感：不甘落后、奋勇争先、追求进步。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</w:tr>
    </w:tbl>
    <w:p>
      <w:pPr>
        <w:rPr>
          <w:rFonts w:hint="eastAsia" w:ascii="宋体" w:hAnsi="宋体" w:eastAsia="宋体" w:cs="宋体"/>
          <w:sz w:val="24"/>
          <w:szCs w:val="24"/>
          <w:lang w:bidi="ar"/>
        </w:rPr>
      </w:pPr>
    </w:p>
    <w:p>
      <w:pPr>
        <w:rPr>
          <w:rFonts w:hint="eastAsia" w:ascii="宋体" w:hAnsi="宋体" w:eastAsia="宋体" w:cs="宋体"/>
          <w:sz w:val="24"/>
          <w:szCs w:val="24"/>
          <w:lang w:bidi="ar"/>
        </w:rPr>
      </w:pPr>
      <w:r>
        <w:rPr>
          <w:rFonts w:hint="eastAsia" w:ascii="宋体" w:hAnsi="宋体" w:eastAsia="宋体" w:cs="宋体"/>
          <w:sz w:val="24"/>
          <w:szCs w:val="24"/>
          <w:lang w:bidi="ar"/>
        </w:rPr>
        <w:br w:type="page"/>
      </w:r>
    </w:p>
    <w:p>
      <w:pPr>
        <w:spacing w:line="480" w:lineRule="exact"/>
        <w:jc w:val="center"/>
        <w:rPr>
          <w:rFonts w:hint="default" w:ascii="Times New Roman" w:hAnsi="Times New Roman" w:eastAsia="黑体" w:cs="Times New Roman"/>
          <w:color w:val="auto"/>
          <w:sz w:val="36"/>
          <w:szCs w:val="36"/>
          <w:lang w:val="en-US" w:eastAsia="zh-CN"/>
        </w:rPr>
      </w:pPr>
      <w:r>
        <w:rPr>
          <w:rFonts w:hint="eastAsia" w:ascii="Times New Roman" w:hAnsi="Times New Roman" w:eastAsia="黑体" w:cs="Times New Roman"/>
          <w:color w:val="auto"/>
          <w:sz w:val="36"/>
          <w:szCs w:val="36"/>
          <w:lang w:val="en-US" w:eastAsia="zh-CN"/>
        </w:rPr>
        <w:t>第三章 华东地区各省市自治区导游基础知识</w:t>
      </w:r>
    </w:p>
    <w:p>
      <w:pPr>
        <w:spacing w:line="480" w:lineRule="exact"/>
        <w:jc w:val="center"/>
        <w:rPr>
          <w:rFonts w:hint="default" w:ascii="Times New Roman" w:hAnsi="Times New Roman" w:eastAsia="黑体" w:cs="Times New Roman"/>
          <w:color w:val="auto"/>
          <w:sz w:val="36"/>
          <w:szCs w:val="36"/>
          <w:lang w:val="en-US"/>
        </w:rPr>
      </w:pPr>
      <w:r>
        <w:rPr>
          <w:rFonts w:hint="eastAsia" w:ascii="Times New Roman" w:hAnsi="Times New Roman" w:eastAsia="黑体" w:cs="Times New Roman"/>
          <w:color w:val="auto"/>
          <w:sz w:val="36"/>
          <w:szCs w:val="36"/>
          <w:lang w:val="en-US" w:eastAsia="zh-CN"/>
        </w:rPr>
        <w:t>第五</w:t>
      </w:r>
      <w:bookmarkStart w:id="0" w:name="_GoBack"/>
      <w:bookmarkEnd w:id="0"/>
      <w:r>
        <w:rPr>
          <w:rFonts w:hint="eastAsia" w:ascii="Times New Roman" w:hAnsi="Times New Roman" w:eastAsia="黑体" w:cs="Times New Roman"/>
          <w:color w:val="auto"/>
          <w:sz w:val="36"/>
          <w:szCs w:val="36"/>
          <w:lang w:val="en-US" w:eastAsia="zh-CN"/>
        </w:rPr>
        <w:t>节  福建省</w:t>
      </w:r>
    </w:p>
    <w:p>
      <w:pPr>
        <w:spacing w:line="480" w:lineRule="exact"/>
        <w:jc w:val="center"/>
        <w:rPr>
          <w:rFonts w:ascii="Times New Roman" w:hAnsi="Times New Roman" w:eastAsia="黑体" w:cs="Times New Roman"/>
          <w:color w:val="FF0000"/>
          <w:sz w:val="36"/>
          <w:szCs w:val="36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auto"/>
        <w:textAlignment w:val="auto"/>
        <w:rPr>
          <w:rFonts w:ascii="黑体" w:hAnsi="黑体" w:eastAsia="黑体" w:cstheme="minorBidi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theme="minorBidi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一、课程基本信息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default" w:ascii="宋体" w:hAnsi="宋体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课程名称： 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导游基础知识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课程类别：□专业选修课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="宋体" w:hAnsi="宋体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课程总学分：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4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default" w:ascii="宋体" w:hAnsi="宋体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课程总学时：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64（本人教学部分32学时）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default" w:ascii="宋体" w:hAnsi="宋体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授课教师：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潘立新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授课班级：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旅游管理、旅游管理对口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default" w:ascii="宋体" w:hAnsi="宋体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教学内容：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福建省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auto"/>
        <w:textAlignment w:val="auto"/>
        <w:rPr>
          <w:rFonts w:hint="eastAsia" w:ascii="Times New Roman" w:hAnsi="Times New Roman" w:eastAsia="宋体" w:cs="Times New Roman"/>
          <w:color w:val="FF0000"/>
          <w:sz w:val="24"/>
          <w:szCs w:val="24"/>
        </w:rPr>
      </w:pPr>
      <w:r>
        <w:rPr>
          <w:rFonts w:hint="eastAsia" w:ascii="黑体" w:hAnsi="黑体" w:eastAsia="黑体" w:cstheme="minorBidi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二、教学目标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2" w:firstLineChars="200"/>
        <w:textAlignment w:val="auto"/>
        <w:rPr>
          <w:rFonts w:hint="eastAsia" w:ascii="宋体" w:hAnsi="宋体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（一）知识目标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="宋体" w:hAnsi="宋体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1.熟悉、了解福建省地理与自然、区划与人口、交通与历史沿革等相关内容。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="宋体" w:hAnsi="宋体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2.掌握、熟悉、了解福建省民族风情、文化旅游资源、风物特产、特色产业等相关内容。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（二）能力目标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="宋体" w:hAnsi="宋体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1.提升学生专业文化素质，提高学生导游讲解的知识水平。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="宋体" w:hAnsi="宋体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2.通过归纳总结全国旅游发展过程中存在的问题及解决途径，了解对福建省旅游资源开发及保护的关系，形成正确的人地协调发展的情感、态度和价值观。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="宋体" w:hAnsi="宋体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3.通过学习本课程，提高理论联系实践的水平与能力。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（三）课程思政目标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ab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="宋体" w:hAnsi="宋体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1.了解、认识福建，进一步热爱祖国、热爱家乡。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="宋体" w:hAnsi="宋体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2.培养学生对中华传统文化的理解和认知；通过中国传统文化的支撑，传承和创新中华优秀传统文化，积极引导当代学生树立正确的国家观、民族观、历史观、文化观，深化学生的文化自信。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="宋体" w:hAnsi="宋体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3.要求学生坚持以德立身、以德立学、以德施教，注重加强对学生的世界观、人生观和价值观的教育，促进和谐社会发展进步；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="宋体" w:hAnsi="宋体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4.结合二十大，通过对比国内外形势，激发同学们的爱国热情，感悟中国社会主义制度的优越性；在习近平主席带领下，全国人民万众一心、众志成城向第二个百年奋斗目标迈进。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auto"/>
        <w:textAlignment w:val="auto"/>
        <w:rPr>
          <w:rFonts w:ascii="黑体" w:hAnsi="黑体" w:eastAsia="黑体" w:cstheme="minorBidi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theme="minorBidi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三、教学设计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  <w:t>（一）教学内容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福建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地理与气候、交通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状况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、历史沿革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default" w:ascii="宋体" w:hAnsi="宋体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福建民族风情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文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旅资源、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风物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特产、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特色产业、高等教育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  <w:t>（二）教学方法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1.任务驱动法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上课前布置任务，让学生带着在互联网上自己学习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福建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有关自然地理条件、旅游资源基本情况。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课上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师生交流讨论；课后将学生整理的资料、课中讨论结果汇报等，通过移动互联网平台进行及时分享，达到成果展示和文化传播的延伸效果。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2.理论讲解法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上课时，老师讲解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福建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基本情况，具有特色的文化、丰富多彩的旅游景区，味道纯正的美味佳肴。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3.案例法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在讲解时，基本每一部分都要加入一个以上案例。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4.现代信息平台——雨课堂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全程使用清华大学的雨课堂，请学生在手机上回答问题、弹幕。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auto"/>
        <w:textAlignment w:val="auto"/>
        <w:rPr>
          <w:rFonts w:hint="eastAsia" w:ascii="黑体" w:hAnsi="黑体" w:eastAsia="黑体" w:cstheme="minorBidi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theme="minorBidi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四、教学过程</w:t>
      </w:r>
      <w:r>
        <w:rPr>
          <w:rFonts w:hint="eastAsia" w:ascii="黑体" w:hAnsi="黑体" w:eastAsia="黑体" w:cstheme="minorBidi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与课程思政设计</w:t>
      </w:r>
    </w:p>
    <w:p>
      <w:pPr>
        <w:pStyle w:val="2"/>
      </w:pPr>
    </w:p>
    <w:p>
      <w:pPr>
        <w:spacing w:line="500" w:lineRule="exact"/>
        <w:ind w:firstLine="480" w:firstLineChars="200"/>
        <w:rPr>
          <w:rFonts w:ascii="宋体" w:hAnsi="宋体"/>
          <w:sz w:val="24"/>
        </w:rPr>
        <w:sectPr>
          <w:footerReference r:id="rId4" w:type="default"/>
          <w:pgSz w:w="11906" w:h="16838"/>
          <w:pgMar w:top="1418" w:right="1418" w:bottom="1418" w:left="1701" w:header="851" w:footer="992" w:gutter="0"/>
          <w:cols w:space="425" w:num="1"/>
          <w:docGrid w:type="lines" w:linePitch="312" w:charSpace="0"/>
        </w:sectPr>
      </w:pPr>
    </w:p>
    <w:p>
      <w:pPr>
        <w:spacing w:line="500" w:lineRule="exact"/>
        <w:ind w:firstLine="480" w:firstLineChars="200"/>
        <w:rPr>
          <w:rFonts w:ascii="宋体" w:hAnsi="宋体" w:eastAsia="宋体" w:cs="Times New Roman"/>
          <w:sz w:val="24"/>
          <w:szCs w:val="24"/>
        </w:rPr>
      </w:pP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33"/>
        <w:gridCol w:w="3357"/>
        <w:gridCol w:w="1913"/>
        <w:gridCol w:w="650"/>
        <w:gridCol w:w="2075"/>
        <w:gridCol w:w="1668"/>
        <w:gridCol w:w="207"/>
        <w:gridCol w:w="297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6" w:hRule="atLeast"/>
        </w:trPr>
        <w:tc>
          <w:tcPr>
            <w:tcW w:w="1233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ind w:left="118" w:leftChars="56"/>
              <w:jc w:val="center"/>
              <w:textAlignment w:val="auto"/>
              <w:rPr>
                <w:rFonts w:hint="eastAsia" w:ascii="楷体_GB2312" w:hAnsi="Calibri" w:eastAsia="楷体_GB2312" w:cs="Times New Roman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楷体_GB2312" w:hAnsi="Calibri" w:eastAsia="楷体_GB2312" w:cs="Times New Roman"/>
                <w:b/>
                <w:sz w:val="28"/>
                <w:szCs w:val="28"/>
                <w:lang w:val="en-US" w:eastAsia="zh-CN"/>
              </w:rPr>
              <w:t>教学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ind w:left="118" w:leftChars="56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楷体_GB2312" w:hAnsi="Calibri" w:eastAsia="楷体_GB2312" w:cs="Times New Roman"/>
                <w:b/>
                <w:sz w:val="28"/>
                <w:szCs w:val="28"/>
                <w:lang w:val="en-US" w:eastAsia="zh-CN"/>
              </w:rPr>
              <w:t>内容</w:t>
            </w:r>
          </w:p>
        </w:tc>
        <w:tc>
          <w:tcPr>
            <w:tcW w:w="3357" w:type="dxa"/>
            <w:shd w:val="clear" w:color="auto" w:fill="auto"/>
            <w:vAlign w:val="center"/>
          </w:tcPr>
          <w:p>
            <w:pPr>
              <w:ind w:left="118" w:leftChars="56"/>
              <w:jc w:val="center"/>
              <w:rPr>
                <w:rFonts w:hint="default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福建</w:t>
            </w:r>
          </w:p>
        </w:tc>
        <w:tc>
          <w:tcPr>
            <w:tcW w:w="1913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24"/>
                <w:szCs w:val="24"/>
                <w:lang w:val="en-US" w:eastAsia="zh-CN"/>
              </w:rPr>
              <w:t>上课专业</w:t>
            </w:r>
          </w:p>
        </w:tc>
        <w:tc>
          <w:tcPr>
            <w:tcW w:w="2725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旅游管理、旅游管理对口</w:t>
            </w:r>
          </w:p>
        </w:tc>
        <w:tc>
          <w:tcPr>
            <w:tcW w:w="1875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24"/>
                <w:szCs w:val="24"/>
                <w:lang w:val="en-US" w:eastAsia="zh-CN"/>
              </w:rPr>
              <w:t>地点</w:t>
            </w:r>
          </w:p>
        </w:tc>
        <w:tc>
          <w:tcPr>
            <w:tcW w:w="297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逸夫楼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7" w:hRule="atLeast"/>
        </w:trPr>
        <w:tc>
          <w:tcPr>
            <w:tcW w:w="1233" w:type="dxa"/>
            <w:shd w:val="clear" w:color="auto" w:fill="auto"/>
            <w:vAlign w:val="center"/>
          </w:tcPr>
          <w:p>
            <w:pPr>
              <w:ind w:left="118" w:leftChars="56"/>
              <w:jc w:val="center"/>
              <w:rPr>
                <w:rFonts w:hint="default" w:ascii="楷体_GB2312" w:hAnsi="Calibri" w:eastAsia="楷体_GB2312" w:cs="Times New Roman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楷体_GB2312" w:hAnsi="Calibri" w:eastAsia="楷体_GB2312" w:cs="Times New Roman"/>
                <w:b/>
                <w:sz w:val="28"/>
                <w:szCs w:val="28"/>
                <w:lang w:val="en-US" w:eastAsia="zh-CN"/>
              </w:rPr>
              <w:t>教学重点难点</w:t>
            </w:r>
          </w:p>
        </w:tc>
        <w:tc>
          <w:tcPr>
            <w:tcW w:w="12845" w:type="dxa"/>
            <w:gridSpan w:val="7"/>
            <w:shd w:val="clear" w:color="auto" w:fill="auto"/>
            <w:vAlign w:val="top"/>
          </w:tcPr>
          <w:p>
            <w:pPr>
              <w:ind w:firstLine="482" w:firstLineChars="200"/>
              <w:jc w:val="both"/>
              <w:rPr>
                <w:rFonts w:hint="eastAsia" w:ascii="Calibri" w:hAnsi="Calibri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b/>
                <w:bCs/>
                <w:sz w:val="24"/>
                <w:szCs w:val="24"/>
                <w:lang w:val="en-US" w:eastAsia="zh-CN"/>
              </w:rPr>
              <w:t>重点：</w:t>
            </w:r>
            <w:r>
              <w:rPr>
                <w:rFonts w:hint="eastAsia" w:ascii="Calibri" w:hAnsi="Calibri" w:eastAsia="宋体" w:cs="Times New Roman"/>
                <w:sz w:val="24"/>
                <w:szCs w:val="24"/>
                <w:lang w:val="en-US" w:eastAsia="zh-CN"/>
              </w:rPr>
              <w:t>1.交通状况</w:t>
            </w:r>
          </w:p>
          <w:p>
            <w:pPr>
              <w:ind w:firstLine="1200" w:firstLineChars="500"/>
              <w:jc w:val="both"/>
              <w:rPr>
                <w:rFonts w:hint="default" w:ascii="Calibri" w:hAnsi="Calibri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sz w:val="24"/>
                <w:szCs w:val="24"/>
                <w:lang w:val="en-US" w:eastAsia="zh-CN"/>
              </w:rPr>
              <w:t>2.文旅资源；</w:t>
            </w:r>
          </w:p>
          <w:p>
            <w:pPr>
              <w:ind w:firstLine="1200" w:firstLineChars="500"/>
              <w:jc w:val="both"/>
              <w:rPr>
                <w:rFonts w:hint="eastAsia" w:ascii="Calibri" w:hAnsi="Calibri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sz w:val="24"/>
                <w:szCs w:val="24"/>
                <w:lang w:val="en-US" w:eastAsia="zh-CN"/>
              </w:rPr>
              <w:t>3.资源丰富；</w:t>
            </w:r>
          </w:p>
          <w:p>
            <w:pPr>
              <w:ind w:firstLine="482" w:firstLineChars="200"/>
              <w:jc w:val="both"/>
              <w:rPr>
                <w:rFonts w:hint="eastAsia" w:ascii="Calibri" w:hAnsi="Calibri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b/>
                <w:bCs/>
                <w:sz w:val="24"/>
                <w:szCs w:val="24"/>
                <w:lang w:val="en-US" w:eastAsia="zh-CN"/>
              </w:rPr>
              <w:t>难点：</w:t>
            </w:r>
            <w:r>
              <w:rPr>
                <w:rFonts w:hint="eastAsia" w:ascii="Calibri" w:hAnsi="Calibri" w:eastAsia="宋体" w:cs="Times New Roman"/>
                <w:sz w:val="24"/>
                <w:szCs w:val="24"/>
                <w:lang w:val="en-US" w:eastAsia="zh-CN"/>
              </w:rPr>
              <w:t>1.历史沿革；</w:t>
            </w:r>
          </w:p>
          <w:p>
            <w:pPr>
              <w:ind w:firstLine="480" w:firstLineChars="200"/>
              <w:jc w:val="both"/>
              <w:rPr>
                <w:rFonts w:hint="default" w:ascii="Calibri" w:hAnsi="Calibri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sz w:val="24"/>
                <w:szCs w:val="24"/>
                <w:lang w:val="en-US" w:eastAsia="zh-CN"/>
              </w:rPr>
              <w:t xml:space="preserve">      2.文旅资源；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7" w:hRule="atLeast"/>
        </w:trPr>
        <w:tc>
          <w:tcPr>
            <w:tcW w:w="1233" w:type="dxa"/>
            <w:shd w:val="clear" w:color="auto" w:fill="auto"/>
            <w:vAlign w:val="center"/>
          </w:tcPr>
          <w:p>
            <w:pPr>
              <w:ind w:left="118" w:leftChars="56"/>
              <w:jc w:val="center"/>
              <w:rPr>
                <w:rFonts w:hint="eastAsia" w:ascii="楷体_GB2312" w:hAnsi="Calibri" w:eastAsia="楷体_GB2312" w:cs="Times New Roman"/>
                <w:b/>
                <w:sz w:val="28"/>
                <w:szCs w:val="28"/>
              </w:rPr>
            </w:pPr>
            <w:r>
              <w:rPr>
                <w:rFonts w:hint="eastAsia" w:ascii="楷体_GB2312" w:hAnsi="Calibri" w:eastAsia="楷体_GB2312" w:cs="Times New Roman"/>
                <w:b/>
                <w:sz w:val="28"/>
                <w:szCs w:val="28"/>
              </w:rPr>
              <w:t>教学</w:t>
            </w:r>
          </w:p>
          <w:p>
            <w:pPr>
              <w:ind w:left="118" w:leftChars="56"/>
              <w:jc w:val="center"/>
              <w:rPr>
                <w:rFonts w:hint="eastAsia" w:ascii="楷体_GB2312" w:hAnsi="Calibri" w:eastAsia="楷体_GB2312" w:cs="Times New Roman"/>
                <w:b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楷体_GB2312" w:hAnsi="Calibri" w:eastAsia="楷体_GB2312" w:cs="Times New Roman"/>
                <w:b/>
                <w:sz w:val="28"/>
                <w:szCs w:val="28"/>
              </w:rPr>
              <w:t>步骤</w:t>
            </w:r>
          </w:p>
        </w:tc>
        <w:tc>
          <w:tcPr>
            <w:tcW w:w="5920" w:type="dxa"/>
            <w:gridSpan w:val="3"/>
            <w:shd w:val="clear" w:color="auto" w:fill="auto"/>
            <w:vAlign w:val="center"/>
          </w:tcPr>
          <w:p>
            <w:pPr>
              <w:ind w:left="118" w:leftChars="56"/>
              <w:jc w:val="center"/>
              <w:rPr>
                <w:rFonts w:hint="eastAsia" w:ascii="楷体_GB2312" w:hAnsi="Calibri" w:eastAsia="楷体_GB2312" w:cs="Times New Roman"/>
                <w:b/>
                <w:kern w:val="2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楷体_GB2312" w:hAnsi="Calibri" w:eastAsia="楷体_GB2312" w:cs="Times New Roman"/>
                <w:b/>
                <w:sz w:val="30"/>
                <w:szCs w:val="30"/>
              </w:rPr>
              <w:t>教师教学活动</w:t>
            </w:r>
          </w:p>
        </w:tc>
        <w:tc>
          <w:tcPr>
            <w:tcW w:w="3743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hint="eastAsia" w:ascii="楷体_GB2312" w:hAnsi="Calibri" w:eastAsia="楷体_GB2312" w:cs="Times New Roman"/>
                <w:b/>
                <w:kern w:val="2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sz w:val="30"/>
                <w:szCs w:val="30"/>
              </w:rPr>
              <w:t>学生学习活动</w:t>
            </w:r>
          </w:p>
        </w:tc>
        <w:tc>
          <w:tcPr>
            <w:tcW w:w="3182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30"/>
                <w:szCs w:val="30"/>
              </w:rPr>
            </w:pPr>
            <w:r>
              <w:rPr>
                <w:rFonts w:hint="eastAsia" w:ascii="宋体" w:hAnsi="宋体" w:eastAsia="宋体" w:cs="宋体"/>
                <w:b/>
                <w:sz w:val="30"/>
                <w:szCs w:val="30"/>
              </w:rPr>
              <w:t>设计意图</w:t>
            </w:r>
          </w:p>
          <w:p>
            <w:pPr>
              <w:jc w:val="center"/>
              <w:rPr>
                <w:rFonts w:hint="default" w:ascii="宋体" w:hAnsi="宋体" w:eastAsia="宋体" w:cs="宋体"/>
                <w:b/>
                <w:sz w:val="30"/>
                <w:szCs w:val="3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sz w:val="30"/>
                <w:szCs w:val="30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b/>
                <w:sz w:val="30"/>
                <w:szCs w:val="30"/>
                <w:lang w:val="en-US" w:eastAsia="zh-CN"/>
              </w:rPr>
              <w:t>课程思政）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7" w:hRule="atLeast"/>
        </w:trPr>
        <w:tc>
          <w:tcPr>
            <w:tcW w:w="1233" w:type="dxa"/>
            <w:shd w:val="clear" w:color="auto" w:fill="auto"/>
          </w:tcPr>
          <w:p>
            <w:pPr>
              <w:rPr>
                <w:rFonts w:hint="eastAsia" w:ascii="楷体" w:hAnsi="楷体" w:eastAsia="楷体" w:cs="楷体"/>
                <w:szCs w:val="24"/>
              </w:rPr>
            </w:pPr>
          </w:p>
          <w:p>
            <w:pPr>
              <w:rPr>
                <w:rFonts w:hint="eastAsia" w:ascii="楷体" w:hAnsi="楷体" w:eastAsia="楷体" w:cs="楷体"/>
                <w:szCs w:val="24"/>
              </w:rPr>
            </w:pPr>
          </w:p>
          <w:p>
            <w:pPr>
              <w:rPr>
                <w:rFonts w:hint="eastAsia" w:ascii="楷体" w:hAnsi="楷体" w:eastAsia="楷体" w:cs="楷体"/>
                <w:b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b/>
                <w:sz w:val="24"/>
                <w:szCs w:val="24"/>
              </w:rPr>
              <w:t>一、</w:t>
            </w:r>
            <w:r>
              <w:rPr>
                <w:rFonts w:hint="eastAsia" w:ascii="楷体" w:hAnsi="楷体" w:eastAsia="楷体" w:cs="楷体"/>
                <w:b/>
                <w:sz w:val="24"/>
                <w:szCs w:val="24"/>
                <w:lang w:val="en-US" w:eastAsia="zh-CN"/>
              </w:rPr>
              <w:t>复习旧课，引入新课：</w:t>
            </w:r>
            <w:r>
              <w:rPr>
                <w:rFonts w:hint="eastAsia" w:ascii="楷体" w:hAnsi="楷体" w:eastAsia="楷体" w:cs="楷体"/>
                <w:b/>
                <w:sz w:val="24"/>
                <w:szCs w:val="24"/>
              </w:rPr>
              <w:t>创设情境，感知“</w:t>
            </w:r>
            <w:r>
              <w:rPr>
                <w:rFonts w:hint="eastAsia" w:ascii="楷体" w:hAnsi="楷体" w:eastAsia="楷体" w:cs="楷体"/>
                <w:b/>
                <w:sz w:val="24"/>
                <w:szCs w:val="24"/>
                <w:lang w:val="en-US" w:eastAsia="zh-CN"/>
              </w:rPr>
              <w:t>首都</w:t>
            </w:r>
            <w:r>
              <w:rPr>
                <w:rFonts w:hint="eastAsia" w:ascii="楷体" w:hAnsi="楷体" w:eastAsia="楷体" w:cs="楷体"/>
                <w:b/>
                <w:sz w:val="24"/>
                <w:szCs w:val="24"/>
              </w:rPr>
              <w:t>”</w:t>
            </w:r>
          </w:p>
          <w:p>
            <w:pPr>
              <w:rPr>
                <w:rFonts w:hint="eastAsia" w:ascii="楷体" w:hAnsi="楷体" w:eastAsia="楷体" w:cs="楷体"/>
                <w:b/>
                <w:sz w:val="24"/>
                <w:szCs w:val="24"/>
              </w:rPr>
            </w:pPr>
          </w:p>
          <w:p>
            <w:pPr>
              <w:rPr>
                <w:rFonts w:hint="eastAsia" w:ascii="楷体" w:hAnsi="楷体" w:eastAsia="楷体" w:cs="楷体"/>
                <w:b/>
                <w:sz w:val="24"/>
                <w:szCs w:val="24"/>
              </w:rPr>
            </w:pPr>
          </w:p>
          <w:p>
            <w:pPr>
              <w:rPr>
                <w:rFonts w:hint="eastAsia" w:ascii="楷体" w:hAnsi="楷体" w:eastAsia="楷体" w:cs="楷体"/>
                <w:szCs w:val="24"/>
              </w:rPr>
            </w:pPr>
          </w:p>
          <w:p>
            <w:pPr>
              <w:rPr>
                <w:rFonts w:hint="eastAsia" w:ascii="楷体" w:hAnsi="楷体" w:eastAsia="楷体" w:cs="楷体"/>
                <w:szCs w:val="24"/>
              </w:rPr>
            </w:pPr>
          </w:p>
        </w:tc>
        <w:tc>
          <w:tcPr>
            <w:tcW w:w="5920" w:type="dxa"/>
            <w:gridSpan w:val="3"/>
            <w:shd w:val="clear" w:color="auto" w:fill="auto"/>
          </w:tcPr>
          <w:p>
            <w:pPr>
              <w:ind w:firstLine="480" w:firstLineChars="200"/>
              <w:rPr>
                <w:rFonts w:hint="default" w:ascii="宋体" w:hAnsi="宋体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谈话：</w:t>
            </w:r>
            <w:r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  <w:t>与学生打招呼后，复习旧课，导入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福建</w:t>
            </w:r>
            <w:r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  <w:t>。导入基本内容；</w:t>
            </w:r>
          </w:p>
          <w:p>
            <w:pPr>
              <w:ind w:left="0" w:leftChars="0" w:firstLine="0" w:firstLineChars="0"/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  <w:t>问题一：有哪些同学去过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福建</w:t>
            </w:r>
            <w:r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  <w:t>？</w:t>
            </w:r>
          </w:p>
          <w:p>
            <w:pPr>
              <w:ind w:left="0" w:leftChars="0" w:firstLine="0" w:firstLineChars="0"/>
              <w:rPr>
                <w:rFonts w:hint="eastAsia" w:ascii="黑体" w:hAnsi="黑体" w:eastAsia="黑体" w:cs="黑体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FF0000"/>
                <w:sz w:val="24"/>
                <w:szCs w:val="24"/>
                <w:lang w:val="en-US" w:eastAsia="zh-CN"/>
              </w:rPr>
              <w:t>手机雨课堂回答</w:t>
            </w:r>
          </w:p>
          <w:p>
            <w:pPr>
              <w:ind w:firstLine="480" w:firstLineChars="200"/>
              <w:rPr>
                <w:rFonts w:hint="eastAsia" w:ascii="Calibri" w:hAnsi="Calibri" w:eastAsia="宋体" w:cs="Times New Roman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  <w:t>引入“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福建</w:t>
            </w:r>
            <w:r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  <w:t>”</w:t>
            </w:r>
          </w:p>
        </w:tc>
        <w:tc>
          <w:tcPr>
            <w:tcW w:w="3743" w:type="dxa"/>
            <w:gridSpan w:val="2"/>
            <w:shd w:val="clear" w:color="auto" w:fill="auto"/>
          </w:tcPr>
          <w:p>
            <w:pPr>
              <w:ind w:firstLine="480" w:firstLineChars="200"/>
              <w:jc w:val="left"/>
              <w:rPr>
                <w:rFonts w:hint="eastAsia"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积极配合老师，回答老师问题</w:t>
            </w:r>
          </w:p>
          <w:p>
            <w:pPr>
              <w:ind w:left="0" w:leftChars="0" w:firstLine="0" w:firstLineChars="0"/>
              <w:rPr>
                <w:rFonts w:hint="default" w:ascii="Calibri" w:hAnsi="Calibri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sz w:val="24"/>
                <w:szCs w:val="24"/>
                <w:lang w:val="en-US" w:eastAsia="zh-CN"/>
              </w:rPr>
              <w:t>有没有去过</w:t>
            </w:r>
            <w:r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  <w:t>福建</w:t>
            </w:r>
          </w:p>
          <w:p>
            <w:pPr>
              <w:ind w:left="0" w:leftChars="0" w:firstLine="0" w:firstLineChars="0"/>
              <w:rPr>
                <w:rFonts w:hint="eastAsia" w:ascii="Calibri" w:hAnsi="Calibri" w:eastAsia="宋体" w:cs="Times New Roman"/>
                <w:sz w:val="24"/>
                <w:szCs w:val="24"/>
              </w:rPr>
            </w:pPr>
          </w:p>
        </w:tc>
        <w:tc>
          <w:tcPr>
            <w:tcW w:w="3182" w:type="dxa"/>
            <w:gridSpan w:val="2"/>
            <w:shd w:val="clear" w:color="auto" w:fill="auto"/>
          </w:tcPr>
          <w:p>
            <w:pPr>
              <w:ind w:firstLine="480" w:firstLineChars="200"/>
              <w:rPr>
                <w:rFonts w:hint="default" w:ascii="宋体" w:hAnsi="宋体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  <w:lang w:eastAsia="zh-CN"/>
              </w:rPr>
              <w:t>使原本抽象的课程形象生动，让学生潜移默化中接受思想政治的教化，</w:t>
            </w:r>
            <w:r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  <w:t>。</w:t>
            </w:r>
          </w:p>
          <w:p>
            <w:pPr>
              <w:ind w:firstLine="480" w:firstLineChars="200"/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</w:pPr>
          </w:p>
          <w:p>
            <w:pPr>
              <w:ind w:firstLine="480" w:firstLineChars="200"/>
              <w:rPr>
                <w:rFonts w:hint="eastAsia" w:ascii="Calibri" w:hAnsi="Calibri" w:eastAsia="宋体" w:cs="Times New Roman"/>
                <w:sz w:val="24"/>
                <w:szCs w:val="24"/>
              </w:rPr>
            </w:pPr>
          </w:p>
          <w:p>
            <w:pPr>
              <w:ind w:firstLine="480" w:firstLineChars="200"/>
              <w:rPr>
                <w:rFonts w:hint="eastAsia" w:ascii="Calibri" w:hAnsi="Calibri" w:eastAsia="宋体" w:cs="Times New Roman"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0" w:hRule="atLeast"/>
        </w:trPr>
        <w:tc>
          <w:tcPr>
            <w:tcW w:w="1233" w:type="dxa"/>
            <w:vMerge w:val="restart"/>
            <w:shd w:val="clear" w:color="auto" w:fill="auto"/>
          </w:tcPr>
          <w:p>
            <w:pPr>
              <w:rPr>
                <w:rFonts w:hint="eastAsia" w:ascii="楷体" w:hAnsi="楷体" w:eastAsia="楷体" w:cs="楷体"/>
                <w:szCs w:val="24"/>
              </w:rPr>
            </w:pPr>
            <w:r>
              <w:rPr>
                <w:rFonts w:hint="eastAsia" w:ascii="楷体" w:hAnsi="楷体" w:eastAsia="楷体" w:cs="楷体"/>
                <w:b/>
                <w:sz w:val="24"/>
                <w:szCs w:val="24"/>
              </w:rPr>
              <w:t>二、</w:t>
            </w:r>
            <w:r>
              <w:rPr>
                <w:rFonts w:hint="eastAsia" w:ascii="楷体" w:hAnsi="楷体" w:eastAsia="楷体" w:cs="楷体"/>
                <w:b/>
                <w:sz w:val="24"/>
                <w:szCs w:val="24"/>
                <w:lang w:val="en-US" w:eastAsia="zh-CN"/>
              </w:rPr>
              <w:t>新课内容</w:t>
            </w:r>
          </w:p>
        </w:tc>
        <w:tc>
          <w:tcPr>
            <w:tcW w:w="5920" w:type="dxa"/>
            <w:gridSpan w:val="3"/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80"/>
              <w:jc w:val="left"/>
              <w:textAlignment w:val="auto"/>
              <w:rPr>
                <w:rFonts w:hint="default" w:ascii="宋体" w:hAnsi="宋体" w:eastAsia="宋体" w:cs="宋体"/>
                <w:color w:val="333333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4"/>
                <w:szCs w:val="24"/>
                <w:lang w:val="en-US" w:eastAsia="zh-CN"/>
              </w:rPr>
              <w:t>1、概况</w:t>
            </w:r>
          </w:p>
          <w:p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80"/>
              <w:jc w:val="left"/>
              <w:textAlignment w:val="auto"/>
              <w:rPr>
                <w:rFonts w:hint="eastAsia" w:ascii="宋体" w:hAnsi="宋体" w:eastAsia="宋体" w:cs="宋体"/>
                <w:color w:val="333333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4"/>
                <w:szCs w:val="24"/>
                <w:lang w:val="en-US" w:eastAsia="zh-CN"/>
              </w:rPr>
              <w:t>福建，简称“闽”，中国省级行政区，省会福州市。福建位于中国东南沿海，与浙江省毗邻、江西省接界、广东省相连，与中国台湾相望。全省陆地面积12.4万平方公里，海域面积13.6万平方公里。[1]截至2021年2月，福建省下辖福州、厦门、漳州、泉州、三明、莆田、南平、龙岩、宁德9个设区市和平潭综合实验区，下设11个县级市、31个市辖区和42个县（含金门县）。2021年末常住人口4154万人。</w:t>
            </w:r>
          </w:p>
          <w:p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80"/>
              <w:jc w:val="left"/>
              <w:textAlignment w:val="auto"/>
              <w:rPr>
                <w:rFonts w:hint="default" w:ascii="宋体" w:hAnsi="宋体" w:eastAsia="宋体" w:cs="宋体"/>
                <w:color w:val="333333"/>
                <w:kern w:val="0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80"/>
              <w:jc w:val="left"/>
              <w:textAlignment w:val="auto"/>
              <w:rPr>
                <w:rFonts w:hint="eastAsia" w:ascii="宋体" w:hAnsi="宋体" w:eastAsia="宋体" w:cs="宋体"/>
                <w:color w:val="333333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3743" w:type="dxa"/>
            <w:gridSpan w:val="2"/>
            <w:shd w:val="clear" w:color="auto" w:fill="auto"/>
          </w:tcPr>
          <w:p>
            <w:pPr>
              <w:numPr>
                <w:ilvl w:val="0"/>
                <w:numId w:val="0"/>
              </w:numPr>
              <w:rPr>
                <w:rFonts w:hint="default" w:ascii="Calibri" w:hAnsi="Calibri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sz w:val="24"/>
                <w:szCs w:val="24"/>
                <w:lang w:val="en-US" w:eastAsia="zh-CN"/>
              </w:rPr>
              <w:t>1、问题二：请学生回答离台湾金门最近的城市是什么，</w:t>
            </w:r>
            <w:r>
              <w:rPr>
                <w:rFonts w:hint="eastAsia" w:ascii="黑体" w:hAnsi="黑体" w:eastAsia="黑体" w:cs="黑体"/>
                <w:b w:val="0"/>
                <w:bCs w:val="0"/>
                <w:color w:val="FF0000"/>
                <w:sz w:val="24"/>
                <w:szCs w:val="24"/>
                <w:lang w:val="en-US" w:eastAsia="zh-CN"/>
              </w:rPr>
              <w:t>手机弹幕</w:t>
            </w:r>
          </w:p>
          <w:p>
            <w:pPr>
              <w:numPr>
                <w:ilvl w:val="0"/>
                <w:numId w:val="0"/>
              </w:numPr>
              <w:rPr>
                <w:rFonts w:hint="eastAsia" w:ascii="Calibri" w:hAnsi="Calibri" w:eastAsia="宋体" w:cs="Times New Roman"/>
                <w:sz w:val="24"/>
                <w:szCs w:val="24"/>
              </w:rPr>
            </w:pPr>
          </w:p>
        </w:tc>
        <w:tc>
          <w:tcPr>
            <w:tcW w:w="3182" w:type="dxa"/>
            <w:gridSpan w:val="2"/>
            <w:shd w:val="clear" w:color="auto" w:fill="auto"/>
          </w:tcPr>
          <w:p>
            <w:pPr>
              <w:ind w:firstLine="480" w:firstLineChars="200"/>
              <w:rPr>
                <w:rFonts w:hint="default" w:ascii="Calibri" w:hAnsi="Calibri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sz w:val="24"/>
                <w:szCs w:val="24"/>
                <w:lang w:val="en-US" w:eastAsia="zh-CN"/>
              </w:rPr>
              <w:t>1、</w:t>
            </w:r>
            <w:r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  <w:t>引领学生通过学习本区，弘扬中国的地域广博，</w:t>
            </w:r>
            <w:r>
              <w:rPr>
                <w:rFonts w:hint="eastAsia" w:ascii="Calibri" w:hAnsi="Calibri" w:eastAsia="宋体" w:cs="Times New Roman"/>
                <w:sz w:val="24"/>
                <w:szCs w:val="24"/>
                <w:lang w:val="en-US" w:eastAsia="zh-CN"/>
              </w:rPr>
              <w:t>激发同学们的热爱祖国的热情。</w:t>
            </w:r>
          </w:p>
          <w:p>
            <w:pPr>
              <w:ind w:firstLine="480" w:firstLineChars="200"/>
              <w:rPr>
                <w:rFonts w:hint="eastAsia" w:ascii="Calibri" w:hAnsi="Calibri" w:eastAsia="宋体" w:cs="Times New Roman"/>
                <w:sz w:val="24"/>
                <w:szCs w:val="24"/>
                <w:lang w:val="en-US" w:eastAsia="zh-CN"/>
              </w:rPr>
            </w:pPr>
          </w:p>
          <w:p>
            <w:pPr>
              <w:ind w:firstLine="480" w:firstLineChars="200"/>
              <w:rPr>
                <w:rFonts w:hint="eastAsia" w:ascii="Calibri" w:hAnsi="Calibri" w:eastAsia="宋体" w:cs="Times New Roman"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5" w:hRule="atLeast"/>
        </w:trPr>
        <w:tc>
          <w:tcPr>
            <w:tcW w:w="1233" w:type="dxa"/>
            <w:vMerge w:val="continue"/>
            <w:shd w:val="clear" w:color="auto" w:fill="auto"/>
          </w:tcPr>
          <w:p>
            <w:pPr>
              <w:rPr>
                <w:rFonts w:hint="eastAsia" w:ascii="楷体" w:hAnsi="楷体" w:eastAsia="楷体" w:cs="楷体"/>
                <w:b/>
                <w:sz w:val="24"/>
                <w:szCs w:val="24"/>
              </w:rPr>
            </w:pPr>
          </w:p>
        </w:tc>
        <w:tc>
          <w:tcPr>
            <w:tcW w:w="5920" w:type="dxa"/>
            <w:gridSpan w:val="3"/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80"/>
              <w:jc w:val="left"/>
              <w:textAlignment w:val="auto"/>
              <w:rPr>
                <w:rFonts w:hint="default" w:ascii="宋体" w:hAnsi="宋体" w:eastAsia="宋体" w:cs="宋体"/>
                <w:color w:val="333333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4"/>
                <w:szCs w:val="24"/>
                <w:lang w:val="en-US" w:eastAsia="zh-CN"/>
              </w:rPr>
              <w:t>2、历史沿革</w:t>
            </w:r>
          </w:p>
          <w:p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80"/>
              <w:jc w:val="left"/>
              <w:textAlignment w:val="auto"/>
              <w:rPr>
                <w:rFonts w:hint="default" w:ascii="宋体" w:hAnsi="宋体" w:eastAsia="宋体" w:cs="宋体"/>
                <w:color w:val="333333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 w:cs="宋体"/>
                <w:color w:val="333333"/>
                <w:kern w:val="0"/>
                <w:sz w:val="24"/>
                <w:szCs w:val="24"/>
                <w:lang w:val="en-US" w:eastAsia="zh-CN"/>
              </w:rPr>
              <w:t>明朝洪武元年（1368年），福建全省八路改为福州、建宁、延平、邵武、兴化、泉州、漳州、汀州八府。洪武九年（1376年），置福建等处承宣布政使司。</w:t>
            </w:r>
          </w:p>
          <w:p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80"/>
              <w:jc w:val="left"/>
              <w:textAlignment w:val="auto"/>
              <w:rPr>
                <w:rFonts w:hint="default" w:ascii="宋体" w:hAnsi="宋体" w:eastAsia="宋体" w:cs="宋体"/>
                <w:color w:val="333333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 w:cs="宋体"/>
                <w:color w:val="333333"/>
                <w:kern w:val="0"/>
                <w:sz w:val="24"/>
                <w:szCs w:val="24"/>
                <w:lang w:val="en-US" w:eastAsia="zh-CN"/>
              </w:rPr>
              <w:t>清代，福建区划继承明制，设福建布政使司。省下辖有福州、兴化、泉州、漳州、延平、建宁、邵武、汀州八府及福宁州。</w:t>
            </w:r>
          </w:p>
          <w:p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80"/>
              <w:jc w:val="left"/>
              <w:textAlignment w:val="auto"/>
              <w:rPr>
                <w:rFonts w:hint="default" w:ascii="宋体" w:hAnsi="宋体" w:eastAsia="宋体" w:cs="宋体"/>
                <w:color w:val="333333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 w:cs="宋体"/>
                <w:color w:val="333333"/>
                <w:kern w:val="0"/>
                <w:sz w:val="24"/>
                <w:szCs w:val="24"/>
                <w:lang w:val="en-US" w:eastAsia="zh-CN"/>
              </w:rPr>
              <w:t>辛亥革命后，历届中央政权均置福建省。</w:t>
            </w:r>
          </w:p>
          <w:p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80"/>
              <w:jc w:val="left"/>
              <w:textAlignment w:val="auto"/>
              <w:rPr>
                <w:rFonts w:hint="default" w:ascii="宋体" w:hAnsi="宋体" w:eastAsia="宋体" w:cs="宋体"/>
                <w:color w:val="333333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 w:cs="宋体"/>
                <w:color w:val="333333"/>
                <w:kern w:val="0"/>
                <w:sz w:val="24"/>
                <w:szCs w:val="24"/>
                <w:lang w:val="en-US" w:eastAsia="zh-CN"/>
              </w:rPr>
              <w:t>中华人民共和国成立后，福建省人民政府驻福州市，直辖福州、厦门2市，分设8个专区、67县。</w:t>
            </w:r>
          </w:p>
          <w:p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80"/>
              <w:jc w:val="left"/>
              <w:textAlignment w:val="auto"/>
              <w:rPr>
                <w:rFonts w:hint="default" w:ascii="宋体" w:hAnsi="宋体" w:eastAsia="宋体" w:cs="宋体"/>
                <w:color w:val="333333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3743" w:type="dxa"/>
            <w:gridSpan w:val="2"/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80"/>
              <w:jc w:val="left"/>
              <w:textAlignment w:val="auto"/>
              <w:rPr>
                <w:rFonts w:hint="default" w:ascii="宋体" w:hAnsi="宋体" w:eastAsia="宋体" w:cs="宋体"/>
                <w:color w:val="333333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4"/>
                <w:szCs w:val="24"/>
                <w:lang w:val="en-US" w:eastAsia="zh-CN"/>
              </w:rPr>
              <w:t>2、请学生了解：福建海岸线长，海洋资源丰富</w:t>
            </w:r>
          </w:p>
          <w:p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ascii="宋体" w:hAnsi="宋体" w:eastAsia="宋体" w:cs="宋体"/>
                <w:color w:val="333333"/>
                <w:kern w:val="0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333333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3182" w:type="dxa"/>
            <w:gridSpan w:val="2"/>
            <w:shd w:val="clear" w:color="auto" w:fill="auto"/>
          </w:tcPr>
          <w:p>
            <w:pPr>
              <w:numPr>
                <w:ilvl w:val="0"/>
                <w:numId w:val="0"/>
              </w:numPr>
              <w:ind w:leftChars="0"/>
              <w:rPr>
                <w:rFonts w:hint="default" w:ascii="Calibri" w:hAnsi="Calibri" w:eastAsia="宋体" w:cs="Times New Roman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bCs/>
                <w:sz w:val="24"/>
                <w:szCs w:val="24"/>
                <w:lang w:val="en-US" w:eastAsia="zh-CN"/>
              </w:rPr>
              <w:t>2、福建历史悠久、文化灿烂</w:t>
            </w:r>
          </w:p>
          <w:p>
            <w:pPr>
              <w:numPr>
                <w:ilvl w:val="0"/>
                <w:numId w:val="0"/>
              </w:numPr>
              <w:ind w:leftChars="0"/>
              <w:rPr>
                <w:rFonts w:hint="default" w:ascii="Calibri" w:hAnsi="Calibri" w:eastAsia="宋体" w:cs="Times New Roman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bCs/>
                <w:sz w:val="24"/>
                <w:szCs w:val="24"/>
                <w:lang w:val="en-US" w:eastAsia="zh-CN"/>
              </w:rPr>
              <w:t>引导学生热爱家乡、建设家乡，以福建人为骄傲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0" w:hRule="atLeast"/>
        </w:trPr>
        <w:tc>
          <w:tcPr>
            <w:tcW w:w="1233" w:type="dxa"/>
            <w:vMerge w:val="continue"/>
            <w:shd w:val="clear" w:color="auto" w:fill="auto"/>
          </w:tcPr>
          <w:p>
            <w:pPr>
              <w:rPr>
                <w:rFonts w:hint="eastAsia" w:ascii="楷体" w:hAnsi="楷体" w:eastAsia="楷体" w:cs="楷体"/>
                <w:b/>
                <w:sz w:val="24"/>
                <w:szCs w:val="24"/>
              </w:rPr>
            </w:pPr>
          </w:p>
        </w:tc>
        <w:tc>
          <w:tcPr>
            <w:tcW w:w="5920" w:type="dxa"/>
            <w:gridSpan w:val="3"/>
            <w:shd w:val="clear" w:color="auto" w:fill="auto"/>
          </w:tcPr>
          <w:p>
            <w:pPr>
              <w:ind w:firstLine="480" w:firstLineChars="200"/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lang w:val="en-US" w:eastAsia="zh-CN"/>
              </w:rPr>
              <w:t>3、福建的自然环境特征</w:t>
            </w:r>
          </w:p>
          <w:p>
            <w:pPr>
              <w:ind w:firstLine="480" w:firstLineChars="200"/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lang w:val="en-US" w:eastAsia="zh-CN"/>
              </w:rPr>
              <w:t>福建省的地形特征，在福建省东部沿海地区分布着狭窄的平原，面积较小且较为破碎。福建省的地势总体上西北高东南低，在福建省西部和中部形成闽西大山带和闽中大山带。福建省素有“八山一水一分田”之称，山地丘陵地形为主，平原面积狭小，不利于种植业的发展，在农业社会时期福建省并不利于农业生产。在交通方面，福建省西部地区的山地阻碍了福建和我国其他地区的交通，而众多的河流，也成为了交通障碍。因此，恶劣的自然地理环境，使得在历史上很多福建人都往东出海，下南洋去谋生。</w:t>
            </w:r>
          </w:p>
          <w:p>
            <w:pPr>
              <w:ind w:firstLine="480" w:firstLineChars="200"/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</w:p>
        </w:tc>
        <w:tc>
          <w:tcPr>
            <w:tcW w:w="3743" w:type="dxa"/>
            <w:gridSpan w:val="2"/>
            <w:shd w:val="clear" w:color="auto" w:fill="auto"/>
          </w:tcPr>
          <w:p>
            <w:pPr>
              <w:numPr>
                <w:ilvl w:val="0"/>
                <w:numId w:val="0"/>
              </w:numPr>
              <w:rPr>
                <w:rFonts w:hint="default" w:ascii="Calibri" w:hAnsi="Calibri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sz w:val="24"/>
                <w:szCs w:val="24"/>
                <w:lang w:val="en-US" w:eastAsia="zh-CN"/>
              </w:rPr>
              <w:t>3、问题三：为什么福建人外出海外的人多</w:t>
            </w:r>
          </w:p>
          <w:p>
            <w:pPr>
              <w:numPr>
                <w:ilvl w:val="0"/>
                <w:numId w:val="0"/>
              </w:numPr>
              <w:rPr>
                <w:rFonts w:hint="default" w:ascii="Calibri" w:hAnsi="Calibri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b/>
                <w:bCs/>
                <w:color w:val="FF0000"/>
                <w:sz w:val="24"/>
                <w:szCs w:val="24"/>
                <w:lang w:val="en-US" w:eastAsia="zh-CN"/>
              </w:rPr>
              <w:t>手机弹幕</w:t>
            </w:r>
          </w:p>
          <w:p>
            <w:pPr>
              <w:numPr>
                <w:ilvl w:val="0"/>
                <w:numId w:val="0"/>
              </w:numPr>
              <w:rPr>
                <w:rFonts w:hint="eastAsia" w:ascii="Calibri" w:hAnsi="Calibri" w:eastAsia="宋体" w:cs="Times New Roman"/>
                <w:sz w:val="24"/>
                <w:szCs w:val="24"/>
              </w:rPr>
            </w:pPr>
          </w:p>
        </w:tc>
        <w:tc>
          <w:tcPr>
            <w:tcW w:w="3182" w:type="dxa"/>
            <w:gridSpan w:val="2"/>
            <w:shd w:val="clear" w:color="auto" w:fill="auto"/>
          </w:tcPr>
          <w:p>
            <w:pPr>
              <w:numPr>
                <w:ilvl w:val="0"/>
                <w:numId w:val="0"/>
              </w:numPr>
              <w:ind w:leftChars="0"/>
              <w:rPr>
                <w:rFonts w:hint="default" w:ascii="Calibri" w:hAnsi="Calibri" w:eastAsia="宋体" w:cs="Times New Roman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bCs/>
                <w:sz w:val="24"/>
                <w:szCs w:val="24"/>
                <w:lang w:val="en-US" w:eastAsia="zh-CN"/>
              </w:rPr>
              <w:t>3、独特的自然条件，丰富的自然资源，中国地大物博，各地有自己的特色。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0" w:hRule="atLeast"/>
        </w:trPr>
        <w:tc>
          <w:tcPr>
            <w:tcW w:w="1233" w:type="dxa"/>
            <w:vMerge w:val="continue"/>
            <w:shd w:val="clear" w:color="auto" w:fill="auto"/>
          </w:tcPr>
          <w:p>
            <w:pPr>
              <w:rPr>
                <w:rFonts w:hint="eastAsia" w:ascii="楷体" w:hAnsi="楷体" w:eastAsia="楷体" w:cs="楷体"/>
                <w:b/>
                <w:sz w:val="24"/>
                <w:szCs w:val="24"/>
              </w:rPr>
            </w:pPr>
          </w:p>
        </w:tc>
        <w:tc>
          <w:tcPr>
            <w:tcW w:w="5920" w:type="dxa"/>
            <w:gridSpan w:val="3"/>
            <w:shd w:val="clear" w:color="auto" w:fill="auto"/>
          </w:tcPr>
          <w:p>
            <w:pPr>
              <w:ind w:firstLine="480" w:firstLineChars="200"/>
              <w:rPr>
                <w:rFonts w:hint="default" w:ascii="Arial" w:hAnsi="Arial" w:eastAsia="宋体" w:cs="Arial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lang w:val="en-US" w:eastAsia="zh-CN"/>
              </w:rPr>
              <w:t>4、交通</w:t>
            </w:r>
          </w:p>
          <w:p>
            <w:pPr>
              <w:ind w:firstLine="480" w:firstLineChars="200"/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lang w:val="en-US" w:eastAsia="zh-CN"/>
              </w:rPr>
              <w:t>福建省东部沿海，海岸线十分曲折漫长，海岸线总长度约为3572千米，多海湾、半岛和岛屿。福建省主要的海湾有沙埕港、三都澳、罗源湾、湄洲湾、厦门港和东山湾等等，海岸类型多为基岩海岸，拥有良好的深水岸线，港口资源十分丰富，主要的港口包括泉州港、厦门港和福州港等，平潭岛是福建省面积最大的岛屿，总面积约为274平方千米，又名海坛岛。</w:t>
            </w:r>
          </w:p>
          <w:p>
            <w:pPr>
              <w:ind w:firstLine="480" w:firstLineChars="200"/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lang w:val="en-US" w:eastAsia="zh-CN"/>
              </w:rPr>
              <w:t>2021年，全年公路通车里程111030.66公里，比上年增长0.8%。高速公路网累计建成6043.91公里，增长0.7%。</w:t>
            </w:r>
            <w:r>
              <w:rPr>
                <w:rFonts w:hint="default" w:ascii="Arial" w:hAnsi="Arial" w:eastAsia="宋体" w:cs="Arial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lang w:val="en-US" w:eastAsia="zh-CN"/>
              </w:rPr>
              <w:fldChar w:fldCharType="begin"/>
            </w:r>
            <w:r>
              <w:rPr>
                <w:rFonts w:hint="default" w:ascii="Arial" w:hAnsi="Arial" w:eastAsia="宋体" w:cs="Arial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lang w:val="en-US" w:eastAsia="zh-CN"/>
              </w:rPr>
              <w:instrText xml:space="preserve"> HYPERLINK "https://baike.sogou.com/m/fullLemma?lid=72381045&amp;g_ut=3" \t "https://baike.sogou.com/m/_blank" </w:instrText>
            </w:r>
            <w:r>
              <w:rPr>
                <w:rFonts w:hint="default" w:ascii="Arial" w:hAnsi="Arial" w:eastAsia="宋体" w:cs="Arial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lang w:val="en-US" w:eastAsia="zh-CN"/>
              </w:rPr>
              <w:fldChar w:fldCharType="separate"/>
            </w:r>
            <w:r>
              <w:rPr>
                <w:rFonts w:hint="default" w:ascii="Arial" w:hAnsi="Arial" w:eastAsia="宋体" w:cs="Arial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lang w:val="en-US" w:eastAsia="zh-CN"/>
              </w:rPr>
              <w:t>铁路营业里程</w:t>
            </w:r>
            <w:r>
              <w:rPr>
                <w:rFonts w:hint="default" w:ascii="Arial" w:hAnsi="Arial" w:eastAsia="宋体" w:cs="Arial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lang w:val="en-US" w:eastAsia="zh-CN"/>
              </w:rPr>
              <w:fldChar w:fldCharType="end"/>
            </w:r>
            <w:r>
              <w:rPr>
                <w:rFonts w:hint="default" w:ascii="Arial" w:hAnsi="Arial" w:eastAsia="宋体" w:cs="Arial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lang w:val="en-US" w:eastAsia="zh-CN"/>
              </w:rPr>
              <w:t>3983.31公里，增长5.5%。</w:t>
            </w:r>
          </w:p>
          <w:p>
            <w:pPr>
              <w:ind w:firstLine="480" w:firstLineChars="200"/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</w:p>
        </w:tc>
        <w:tc>
          <w:tcPr>
            <w:tcW w:w="3743" w:type="dxa"/>
            <w:gridSpan w:val="2"/>
            <w:shd w:val="clear" w:color="auto" w:fill="auto"/>
          </w:tcPr>
          <w:p>
            <w:pPr>
              <w:numPr>
                <w:ilvl w:val="0"/>
                <w:numId w:val="0"/>
              </w:numPr>
              <w:rPr>
                <w:rFonts w:hint="eastAsia" w:ascii="Calibri" w:hAnsi="Calibri" w:eastAsia="宋体" w:cs="Times New Roman"/>
                <w:sz w:val="24"/>
                <w:szCs w:val="24"/>
              </w:rPr>
            </w:pPr>
            <w:r>
              <w:drawing>
                <wp:inline distT="0" distB="0" distL="114300" distR="114300">
                  <wp:extent cx="2238375" cy="3339465"/>
                  <wp:effectExtent l="0" t="0" r="9525" b="13335"/>
                  <wp:docPr id="4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38375" cy="3339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82" w:type="dxa"/>
            <w:gridSpan w:val="2"/>
            <w:shd w:val="clear" w:color="auto" w:fill="auto"/>
          </w:tcPr>
          <w:p>
            <w:pPr>
              <w:numPr>
                <w:ilvl w:val="0"/>
                <w:numId w:val="0"/>
              </w:numPr>
              <w:ind w:leftChars="0"/>
              <w:rPr>
                <w:rFonts w:hint="default" w:ascii="Calibri" w:hAnsi="Calibri" w:eastAsia="宋体" w:cs="Times New Roman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bCs/>
                <w:sz w:val="24"/>
                <w:szCs w:val="24"/>
                <w:lang w:val="en-US" w:eastAsia="zh-CN"/>
              </w:rPr>
              <w:t>4、中国面积广大，各地人文情况多样，福建位置优越，交通便利，经济发达，人民生活幸福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0" w:hRule="atLeast"/>
        </w:trPr>
        <w:tc>
          <w:tcPr>
            <w:tcW w:w="1233" w:type="dxa"/>
            <w:vMerge w:val="continue"/>
            <w:shd w:val="clear" w:color="auto" w:fill="auto"/>
          </w:tcPr>
          <w:p>
            <w:pPr>
              <w:rPr>
                <w:rFonts w:hint="eastAsia" w:ascii="楷体" w:hAnsi="楷体" w:eastAsia="楷体" w:cs="楷体"/>
                <w:b/>
                <w:sz w:val="24"/>
                <w:szCs w:val="24"/>
              </w:rPr>
            </w:pPr>
          </w:p>
        </w:tc>
        <w:tc>
          <w:tcPr>
            <w:tcW w:w="5920" w:type="dxa"/>
            <w:gridSpan w:val="3"/>
            <w:shd w:val="clear" w:color="auto" w:fill="auto"/>
            <w:vAlign w:val="top"/>
          </w:tcPr>
          <w:p>
            <w:pPr>
              <w:ind w:firstLine="480" w:firstLineChars="200"/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lang w:val="en-US" w:eastAsia="zh-CN"/>
              </w:rPr>
              <w:t>5、福建文化</w:t>
            </w:r>
          </w:p>
          <w:p>
            <w:pPr>
              <w:ind w:firstLine="480" w:firstLineChars="200"/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lang w:val="en-US" w:eastAsia="zh-CN"/>
              </w:rPr>
              <w:t>福建省历来以方言复杂著称。全国汉语方言有七大类，福建境内就占有其五--闽方言、客方言、赣方言、吴方言和官话方言。方言的形成主要是由于社会的分裂、人民的迁徙、民族的融合和地理的阻隔。福建境内现存的各种方言都有自己独特的形成过程。</w:t>
            </w:r>
          </w:p>
          <w:p>
            <w:pPr>
              <w:ind w:firstLine="480" w:firstLineChars="200"/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lang w:val="en-US" w:eastAsia="zh-CN"/>
              </w:rPr>
              <w:t>从总的方面说，就古民族和古方言的源流而论，福建方言是多来源的；就方言差异的积存和共同语的影响而论，福建方言是多层次的；就内外关系及其相互作用的结果而论，福建方言是多类型的。</w:t>
            </w:r>
          </w:p>
          <w:p>
            <w:pPr>
              <w:ind w:firstLine="480" w:firstLineChars="200"/>
              <w:rPr>
                <w:rFonts w:hint="default" w:ascii="Arial" w:hAnsi="Arial" w:eastAsia="宋体" w:cs="Arial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</w:p>
        </w:tc>
        <w:tc>
          <w:tcPr>
            <w:tcW w:w="3743" w:type="dxa"/>
            <w:gridSpan w:val="2"/>
            <w:shd w:val="clear" w:color="auto" w:fill="auto"/>
            <w:vAlign w:val="top"/>
          </w:tcPr>
          <w:p>
            <w:pPr>
              <w:spacing w:line="400" w:lineRule="exact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</w:p>
        </w:tc>
        <w:tc>
          <w:tcPr>
            <w:tcW w:w="3182" w:type="dxa"/>
            <w:gridSpan w:val="2"/>
            <w:shd w:val="clear" w:color="auto" w:fill="auto"/>
          </w:tcPr>
          <w:p>
            <w:pPr>
              <w:ind w:firstLine="480" w:firstLineChars="200"/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lang w:val="en-US" w:eastAsia="zh-CN"/>
              </w:rPr>
              <w:t>5、中国文化艺术种类繁多，对于中华民族的民族自豪感油然产生。</w:t>
            </w:r>
          </w:p>
          <w:p>
            <w:pPr>
              <w:ind w:firstLine="480" w:firstLineChars="200"/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lang w:val="en-US" w:eastAsia="zh-CN"/>
              </w:rPr>
              <w:t>凝结着福建各族人民的生活情感与理想，也是福建各族人民智慧的体现。至今还在影响着人们的思想、道德和情操，成为人们获取知识的宝库和民族凝聚力的象征。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6" w:hRule="atLeast"/>
        </w:trPr>
        <w:tc>
          <w:tcPr>
            <w:tcW w:w="1233" w:type="dxa"/>
            <w:vMerge w:val="continue"/>
            <w:shd w:val="clear" w:color="auto" w:fill="auto"/>
          </w:tcPr>
          <w:p>
            <w:pPr>
              <w:rPr>
                <w:rFonts w:hint="eastAsia" w:ascii="楷体" w:hAnsi="楷体" w:eastAsia="楷体" w:cs="楷体"/>
                <w:b/>
                <w:sz w:val="24"/>
                <w:szCs w:val="24"/>
              </w:rPr>
            </w:pPr>
          </w:p>
        </w:tc>
        <w:tc>
          <w:tcPr>
            <w:tcW w:w="5920" w:type="dxa"/>
            <w:gridSpan w:val="3"/>
            <w:shd w:val="clear" w:color="auto" w:fill="auto"/>
            <w:vAlign w:val="top"/>
          </w:tcPr>
          <w:p>
            <w:pPr>
              <w:ind w:firstLine="480" w:firstLineChars="200"/>
              <w:jc w:val="left"/>
              <w:rPr>
                <w:rFonts w:hint="eastAsia" w:ascii="宋体" w:hAnsi="宋体" w:eastAsia="宋体" w:cs="Times New Roman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Cs/>
                <w:sz w:val="24"/>
                <w:szCs w:val="24"/>
                <w:lang w:val="en-US" w:eastAsia="zh-CN"/>
              </w:rPr>
              <w:t>7、旅游资源</w:t>
            </w:r>
          </w:p>
          <w:p>
            <w:pPr>
              <w:ind w:firstLine="480" w:firstLineChars="200"/>
              <w:jc w:val="left"/>
              <w:rPr>
                <w:rFonts w:hint="eastAsia" w:ascii="宋体" w:hAnsi="宋体" w:eastAsia="宋体" w:cs="Times New Roman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Cs/>
                <w:sz w:val="24"/>
                <w:szCs w:val="24"/>
                <w:lang w:val="en-US" w:eastAsia="zh-CN"/>
              </w:rPr>
              <w:t>福建的旅游资源丰富而且独特。厦门市鼓浪屿风景名胜区（2007年）、南平市武夷山风景名胜区（2007年）、福建省土楼（永定·南靖）旅游景区（2011年）、福建省三明市泰宁风景旅游区（2011年）、泉州市清源山景区（2012年）、宁德市白水洋-鸳鸯溪旅游区（2012年）、宁德市福鼎太姥山旅游区（2013年）等7个国家AAAAA级旅游景区景色奇异秀丽。</w:t>
            </w:r>
          </w:p>
          <w:p>
            <w:pPr>
              <w:ind w:firstLine="480" w:firstLineChars="200"/>
              <w:jc w:val="left"/>
              <w:rPr>
                <w:rFonts w:hint="default" w:ascii="宋体" w:hAnsi="宋体" w:eastAsia="宋体" w:cs="Times New Roman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sz w:val="24"/>
                <w:szCs w:val="24"/>
                <w:lang w:val="en-US" w:eastAsia="zh-CN"/>
              </w:rPr>
              <w:t>2021年，全年接待入境游客65.11万人次，比上年下降71.7%。国际旅游外汇收入4.92亿美元，下降76.2%。接待国内旅游人数40680.51万人次，增长15.6%；国内旅游收入4862.34亿元，增长5.3%。旅游总收入4894.04亿元，增长2.8%。</w:t>
            </w:r>
          </w:p>
        </w:tc>
        <w:tc>
          <w:tcPr>
            <w:tcW w:w="3743" w:type="dxa"/>
            <w:gridSpan w:val="2"/>
            <w:shd w:val="clear" w:color="auto" w:fill="auto"/>
            <w:vAlign w:val="top"/>
          </w:tcPr>
          <w:p>
            <w:pPr>
              <w:spacing w:line="400" w:lineRule="exact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</w:p>
        </w:tc>
        <w:tc>
          <w:tcPr>
            <w:tcW w:w="3182" w:type="dxa"/>
            <w:gridSpan w:val="2"/>
            <w:shd w:val="clear" w:color="auto" w:fill="auto"/>
            <w:vAlign w:val="top"/>
          </w:tcPr>
          <w:p>
            <w:pPr>
              <w:ind w:firstLine="480" w:firstLineChars="200"/>
              <w:jc w:val="left"/>
              <w:rPr>
                <w:rFonts w:hint="default" w:ascii="宋体" w:hAnsi="宋体" w:eastAsia="宋体" w:cs="Times New Roman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Cs/>
                <w:sz w:val="24"/>
                <w:szCs w:val="24"/>
                <w:lang w:val="en-US" w:eastAsia="zh-CN"/>
              </w:rPr>
              <w:t>7、旅游资源丰富，旅游业发达，体现了人民的生活幸福美满</w:t>
            </w:r>
          </w:p>
          <w:p>
            <w:pPr>
              <w:ind w:firstLine="480" w:firstLineChars="200"/>
              <w:jc w:val="left"/>
              <w:rPr>
                <w:rFonts w:hint="eastAsia" w:ascii="宋体" w:hAnsi="宋体" w:eastAsia="宋体" w:cs="Times New Roman"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233" w:type="dxa"/>
            <w:vMerge w:val="continue"/>
            <w:shd w:val="clear" w:color="auto" w:fill="auto"/>
          </w:tcPr>
          <w:p>
            <w:pPr>
              <w:rPr>
                <w:rFonts w:hint="eastAsia" w:ascii="楷体" w:hAnsi="楷体" w:eastAsia="楷体" w:cs="楷体"/>
                <w:b/>
                <w:sz w:val="24"/>
                <w:szCs w:val="24"/>
              </w:rPr>
            </w:pPr>
          </w:p>
        </w:tc>
        <w:tc>
          <w:tcPr>
            <w:tcW w:w="5920" w:type="dxa"/>
            <w:gridSpan w:val="3"/>
            <w:shd w:val="clear" w:color="auto" w:fill="auto"/>
            <w:vAlign w:val="top"/>
          </w:tcPr>
          <w:p>
            <w:pPr>
              <w:ind w:firstLine="480" w:firstLineChars="200"/>
              <w:jc w:val="left"/>
              <w:rPr>
                <w:rFonts w:hint="default" w:ascii="宋体" w:hAnsi="宋体" w:eastAsia="宋体" w:cs="Times New Roman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Cs/>
                <w:sz w:val="24"/>
                <w:szCs w:val="24"/>
                <w:lang w:val="en-US" w:eastAsia="zh-CN"/>
              </w:rPr>
              <w:t>8、高等教育</w:t>
            </w:r>
          </w:p>
          <w:p>
            <w:pPr>
              <w:ind w:firstLine="480" w:firstLineChars="200"/>
              <w:jc w:val="left"/>
              <w:rPr>
                <w:rFonts w:hint="default" w:ascii="宋体" w:hAnsi="宋体" w:eastAsia="宋体" w:cs="Times New Roman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Cs/>
                <w:sz w:val="24"/>
                <w:szCs w:val="24"/>
                <w:lang w:val="en-US" w:eastAsia="zh-CN"/>
              </w:rPr>
              <w:t>福建高等教育较发达，主要有福州大学、华侨大学、厦门大学</w:t>
            </w:r>
          </w:p>
        </w:tc>
        <w:tc>
          <w:tcPr>
            <w:tcW w:w="3743" w:type="dxa"/>
            <w:gridSpan w:val="2"/>
            <w:shd w:val="clear" w:color="auto" w:fill="auto"/>
            <w:vAlign w:val="top"/>
          </w:tcPr>
          <w:p>
            <w:pPr>
              <w:spacing w:line="400" w:lineRule="exact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</w:p>
        </w:tc>
        <w:tc>
          <w:tcPr>
            <w:tcW w:w="3182" w:type="dxa"/>
            <w:gridSpan w:val="2"/>
            <w:shd w:val="clear" w:color="auto" w:fill="auto"/>
          </w:tcPr>
          <w:p>
            <w:pPr>
              <w:ind w:firstLine="480" w:firstLineChars="200"/>
              <w:jc w:val="left"/>
              <w:rPr>
                <w:rFonts w:hint="default" w:ascii="宋体" w:hAnsi="宋体" w:eastAsia="宋体" w:cs="Times New Roman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Cs/>
                <w:sz w:val="24"/>
                <w:szCs w:val="24"/>
                <w:lang w:val="en-US" w:eastAsia="zh-CN"/>
              </w:rPr>
              <w:t>教育发达，人才辈出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16" w:hRule="atLeast"/>
        </w:trPr>
        <w:tc>
          <w:tcPr>
            <w:tcW w:w="1233" w:type="dxa"/>
            <w:shd w:val="clear" w:color="auto" w:fill="auto"/>
          </w:tcPr>
          <w:p>
            <w:pPr>
              <w:rPr>
                <w:rFonts w:hint="eastAsia" w:ascii="楷体" w:hAnsi="楷体" w:eastAsia="楷体" w:cs="楷体"/>
                <w:b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b/>
                <w:sz w:val="24"/>
                <w:szCs w:val="24"/>
                <w:lang w:val="en-US" w:eastAsia="zh-CN"/>
              </w:rPr>
              <w:t>三</w:t>
            </w:r>
            <w:r>
              <w:rPr>
                <w:rFonts w:hint="eastAsia" w:ascii="楷体" w:hAnsi="楷体" w:eastAsia="楷体" w:cs="楷体"/>
                <w:b/>
                <w:sz w:val="24"/>
                <w:szCs w:val="24"/>
              </w:rPr>
              <w:t>、</w:t>
            </w:r>
            <w:r>
              <w:rPr>
                <w:rFonts w:hint="eastAsia" w:ascii="楷体" w:hAnsi="楷体" w:eastAsia="楷体" w:cs="楷体"/>
                <w:b/>
                <w:sz w:val="24"/>
                <w:szCs w:val="24"/>
                <w:lang w:val="en-US" w:eastAsia="zh-CN"/>
              </w:rPr>
              <w:t>课堂小结，布置作业</w:t>
            </w:r>
          </w:p>
          <w:p>
            <w:pPr>
              <w:rPr>
                <w:rFonts w:hint="eastAsia" w:ascii="楷体" w:hAnsi="楷体" w:eastAsia="楷体" w:cs="楷体"/>
                <w:szCs w:val="24"/>
              </w:rPr>
            </w:pPr>
          </w:p>
        </w:tc>
        <w:tc>
          <w:tcPr>
            <w:tcW w:w="5920" w:type="dxa"/>
            <w:gridSpan w:val="3"/>
            <w:shd w:val="clear" w:color="auto" w:fill="auto"/>
          </w:tcPr>
          <w:p>
            <w:pPr>
              <w:ind w:firstLine="480" w:firstLineChars="200"/>
              <w:rPr>
                <w:rFonts w:hint="default" w:ascii="宋体" w:hAnsi="宋体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  <w:t>总结本次课所学内容，请同学说下，福建主要文化旅游资源有哪些。</w:t>
            </w:r>
          </w:p>
          <w:p>
            <w:pPr>
              <w:ind w:firstLine="480" w:firstLineChars="200"/>
              <w:rPr>
                <w:rFonts w:hint="default" w:ascii="宋体" w:hAnsi="宋体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  <w:t>布置作业：回去后，预习江西；</w:t>
            </w:r>
          </w:p>
          <w:p>
            <w:pPr>
              <w:ind w:firstLine="480" w:firstLineChars="200"/>
              <w:rPr>
                <w:rFonts w:hint="eastAsia"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  <w:t>结束课堂：</w:t>
            </w:r>
          </w:p>
          <w:p>
            <w:pPr>
              <w:ind w:firstLine="480" w:firstLineChars="200"/>
              <w:jc w:val="left"/>
              <w:rPr>
                <w:rFonts w:hint="eastAsia" w:ascii="宋体" w:hAnsi="宋体" w:eastAsia="宋体" w:cs="Times New Roman"/>
                <w:bCs/>
                <w:sz w:val="24"/>
                <w:szCs w:val="24"/>
              </w:rPr>
            </w:pPr>
          </w:p>
        </w:tc>
        <w:tc>
          <w:tcPr>
            <w:tcW w:w="3743" w:type="dxa"/>
            <w:gridSpan w:val="2"/>
            <w:shd w:val="clear" w:color="auto" w:fill="auto"/>
          </w:tcPr>
          <w:p>
            <w:pPr>
              <w:ind w:firstLine="480" w:firstLineChars="200"/>
              <w:rPr>
                <w:rFonts w:hint="default" w:ascii="Calibri" w:hAnsi="Calibri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sz w:val="24"/>
                <w:szCs w:val="24"/>
                <w:lang w:val="en-US" w:eastAsia="zh-CN"/>
              </w:rPr>
              <w:t>思考老师问题，并积极回答。下课后，认真练习，相互交流和切磋。</w:t>
            </w:r>
          </w:p>
          <w:p>
            <w:pPr>
              <w:ind w:firstLine="480"/>
              <w:rPr>
                <w:rFonts w:hint="eastAsia" w:ascii="Calibri" w:hAnsi="Calibri" w:eastAsia="宋体" w:cs="Times New Roman"/>
                <w:sz w:val="24"/>
                <w:szCs w:val="24"/>
              </w:rPr>
            </w:pPr>
          </w:p>
        </w:tc>
        <w:tc>
          <w:tcPr>
            <w:tcW w:w="3182" w:type="dxa"/>
            <w:gridSpan w:val="2"/>
            <w:shd w:val="clear" w:color="auto" w:fill="auto"/>
          </w:tcPr>
          <w:p>
            <w:pPr>
              <w:ind w:firstLine="480" w:firstLineChars="200"/>
              <w:rPr>
                <w:rFonts w:hint="eastAsia" w:ascii="Calibri" w:hAnsi="Calibri" w:eastAsia="宋体" w:cs="Times New Roman"/>
                <w:sz w:val="24"/>
                <w:szCs w:val="24"/>
              </w:rPr>
            </w:pPr>
          </w:p>
          <w:p>
            <w:pPr>
              <w:ind w:firstLine="480" w:firstLineChars="200"/>
              <w:rPr>
                <w:rFonts w:hint="eastAsia" w:ascii="Calibri" w:hAnsi="Calibri" w:eastAsia="宋体" w:cs="Times New Roman"/>
                <w:bCs/>
                <w:sz w:val="24"/>
                <w:szCs w:val="24"/>
              </w:rPr>
            </w:pPr>
          </w:p>
          <w:p>
            <w:pPr>
              <w:ind w:firstLine="480" w:firstLineChars="200"/>
              <w:rPr>
                <w:rFonts w:hint="eastAsia" w:ascii="Calibri" w:hAnsi="Calibri" w:eastAsia="宋体" w:cs="Times New Roman"/>
                <w:bCs/>
                <w:sz w:val="24"/>
                <w:szCs w:val="24"/>
              </w:rPr>
            </w:pPr>
          </w:p>
        </w:tc>
      </w:tr>
    </w:tbl>
    <w:p>
      <w:pPr>
        <w:spacing w:line="500" w:lineRule="exact"/>
        <w:ind w:firstLine="480" w:firstLineChars="200"/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>
      <w:pPr>
        <w:spacing w:line="500" w:lineRule="exact"/>
        <w:ind w:firstLine="480" w:firstLineChars="200"/>
        <w:rPr>
          <w:rFonts w:ascii="Times New Roman" w:hAnsi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  <w:sectPr>
          <w:pgSz w:w="16838" w:h="11906" w:orient="landscape"/>
          <w:pgMar w:top="1701" w:right="1418" w:bottom="1418" w:left="1418" w:header="851" w:footer="992" w:gutter="0"/>
          <w:cols w:space="425" w:num="1"/>
          <w:docGrid w:type="lines" w:linePitch="312" w:charSpace="0"/>
        </w:sectPr>
      </w:pPr>
    </w:p>
    <w:p>
      <w:pPr>
        <w:pStyle w:val="2"/>
      </w:pPr>
    </w:p>
    <w:p>
      <w:pPr>
        <w:pStyle w:val="2"/>
      </w:pPr>
    </w:p>
    <w:sectPr>
      <w:footerReference r:id="rId5" w:type="default"/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widowControl w:val="0"/>
      <w:snapToGrid w:val="0"/>
      <w:jc w:val="left"/>
      <w:rPr>
        <w:rFonts w:ascii="Calibri" w:hAnsi="Calibri" w:eastAsia="宋体" w:cs="Times New Roman"/>
        <w:kern w:val="2"/>
        <w:sz w:val="18"/>
        <w:szCs w:val="24"/>
        <w:lang w:val="en-US" w:eastAsia="zh-CN" w:bidi="ar-SA"/>
      </w:rPr>
    </w:pPr>
    <w:r>
      <w:rPr>
        <w:rFonts w:ascii="Calibri" w:hAnsi="Calibri" w:eastAsia="宋体" w:cs="Times New Roman"/>
        <w:kern w:val="2"/>
        <w:sz w:val="18"/>
        <w:szCs w:val="24"/>
        <w:lang w:val="en-US" w:eastAsia="zh-CN" w:bidi="ar-SA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widowControl w:val="0"/>
                            <w:snapToGrid w:val="0"/>
                            <w:jc w:val="left"/>
                            <w:rPr>
                              <w:rFonts w:ascii="宋体" w:hAnsi="宋体" w:eastAsia="宋体" w:cs="Times New Roman"/>
                              <w:kern w:val="2"/>
                              <w:sz w:val="18"/>
                              <w:szCs w:val="24"/>
                              <w:lang w:val="en-US" w:eastAsia="zh-CN" w:bidi="ar-SA"/>
                            </w:rPr>
                          </w:pPr>
                          <w:r>
                            <w:rPr>
                              <w:rFonts w:ascii="宋体" w:hAnsi="宋体" w:eastAsia="宋体" w:cs="Times New Roman"/>
                              <w:kern w:val="2"/>
                              <w:sz w:val="18"/>
                              <w:szCs w:val="24"/>
                              <w:lang w:val="en-US" w:eastAsia="zh-CN" w:bidi="ar-SA"/>
                            </w:rPr>
                            <w:fldChar w:fldCharType="begin"/>
                          </w:r>
                          <w:r>
                            <w:rPr>
                              <w:rFonts w:ascii="宋体" w:hAnsi="宋体" w:eastAsia="宋体" w:cs="Times New Roman"/>
                              <w:kern w:val="2"/>
                              <w:sz w:val="18"/>
                              <w:szCs w:val="24"/>
                              <w:lang w:val="en-US" w:eastAsia="zh-CN" w:bidi="ar-S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宋体" w:hAnsi="宋体" w:eastAsia="宋体" w:cs="Times New Roman"/>
                              <w:kern w:val="2"/>
                              <w:sz w:val="18"/>
                              <w:szCs w:val="24"/>
                              <w:lang w:val="en-US" w:eastAsia="zh-CN" w:bidi="ar-SA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 w:eastAsia="宋体" w:cs="Times New Roman"/>
                              <w:kern w:val="2"/>
                              <w:sz w:val="18"/>
                              <w:szCs w:val="24"/>
                              <w:lang w:val="en-US" w:eastAsia="zh-CN" w:bidi="ar-SA"/>
                            </w:rPr>
                            <w:t>3</w:t>
                          </w:r>
                          <w:r>
                            <w:rPr>
                              <w:rFonts w:ascii="宋体" w:hAnsi="宋体" w:eastAsia="宋体" w:cs="Times New Roman"/>
                              <w:kern w:val="2"/>
                              <w:sz w:val="18"/>
                              <w:szCs w:val="24"/>
                              <w:lang w:val="en-US" w:eastAsia="zh-CN" w:bidi="ar-S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CG8Zm0MQIAAGM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widowControl w:val="0"/>
                      <w:snapToGrid w:val="0"/>
                      <w:jc w:val="left"/>
                      <w:rPr>
                        <w:rFonts w:ascii="宋体" w:hAnsi="宋体" w:eastAsia="宋体" w:cs="Times New Roman"/>
                        <w:kern w:val="2"/>
                        <w:sz w:val="18"/>
                        <w:szCs w:val="24"/>
                        <w:lang w:val="en-US" w:eastAsia="zh-CN" w:bidi="ar-SA"/>
                      </w:rPr>
                    </w:pPr>
                    <w:r>
                      <w:rPr>
                        <w:rFonts w:ascii="宋体" w:hAnsi="宋体" w:eastAsia="宋体" w:cs="Times New Roman"/>
                        <w:kern w:val="2"/>
                        <w:sz w:val="18"/>
                        <w:szCs w:val="24"/>
                        <w:lang w:val="en-US" w:eastAsia="zh-CN" w:bidi="ar-SA"/>
                      </w:rPr>
                      <w:fldChar w:fldCharType="begin"/>
                    </w:r>
                    <w:r>
                      <w:rPr>
                        <w:rFonts w:ascii="宋体" w:hAnsi="宋体" w:eastAsia="宋体" w:cs="Times New Roman"/>
                        <w:kern w:val="2"/>
                        <w:sz w:val="18"/>
                        <w:szCs w:val="24"/>
                        <w:lang w:val="en-US" w:eastAsia="zh-CN" w:bidi="ar-SA"/>
                      </w:rPr>
                      <w:instrText xml:space="preserve"> PAGE  \* MERGEFORMAT </w:instrText>
                    </w:r>
                    <w:r>
                      <w:rPr>
                        <w:rFonts w:ascii="宋体" w:hAnsi="宋体" w:eastAsia="宋体" w:cs="Times New Roman"/>
                        <w:kern w:val="2"/>
                        <w:sz w:val="18"/>
                        <w:szCs w:val="24"/>
                        <w:lang w:val="en-US" w:eastAsia="zh-CN" w:bidi="ar-SA"/>
                      </w:rPr>
                      <w:fldChar w:fldCharType="separate"/>
                    </w:r>
                    <w:r>
                      <w:rPr>
                        <w:rFonts w:ascii="宋体" w:hAnsi="宋体" w:eastAsia="宋体" w:cs="Times New Roman"/>
                        <w:kern w:val="2"/>
                        <w:sz w:val="18"/>
                        <w:szCs w:val="24"/>
                        <w:lang w:val="en-US" w:eastAsia="zh-CN" w:bidi="ar-SA"/>
                      </w:rPr>
                      <w:t>3</w:t>
                    </w:r>
                    <w:r>
                      <w:rPr>
                        <w:rFonts w:ascii="宋体" w:hAnsi="宋体" w:eastAsia="宋体" w:cs="Times New Roman"/>
                        <w:kern w:val="2"/>
                        <w:sz w:val="18"/>
                        <w:szCs w:val="24"/>
                        <w:lang w:val="en-US" w:eastAsia="zh-CN" w:bidi="ar-S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widowControl w:val="0"/>
      <w:snapToGrid w:val="0"/>
      <w:jc w:val="left"/>
      <w:rPr>
        <w:rFonts w:ascii="Calibri" w:hAnsi="Calibri" w:eastAsia="宋体" w:cs="Times New Roman"/>
        <w:kern w:val="2"/>
        <w:sz w:val="18"/>
        <w:szCs w:val="24"/>
        <w:lang w:val="en-US" w:eastAsia="zh-CN" w:bidi="ar-SA"/>
      </w:rPr>
    </w:pPr>
    <w:r>
      <w:rPr>
        <w:rFonts w:ascii="Calibri" w:hAnsi="Calibri" w:eastAsia="宋体" w:cs="Times New Roman"/>
        <w:kern w:val="2"/>
        <w:sz w:val="18"/>
        <w:szCs w:val="24"/>
        <w:lang w:val="en-US" w:eastAsia="zh-CN" w:bidi="ar-SA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widowControl w:val="0"/>
                            <w:snapToGrid w:val="0"/>
                            <w:jc w:val="left"/>
                            <w:rPr>
                              <w:rFonts w:ascii="宋体" w:hAnsi="宋体" w:eastAsia="宋体" w:cs="Times New Roman"/>
                              <w:kern w:val="2"/>
                              <w:sz w:val="18"/>
                              <w:szCs w:val="24"/>
                              <w:lang w:val="en-US" w:eastAsia="zh-CN" w:bidi="ar-SA"/>
                            </w:rPr>
                          </w:pPr>
                          <w:r>
                            <w:rPr>
                              <w:rFonts w:ascii="宋体" w:hAnsi="宋体" w:eastAsia="宋体" w:cs="Times New Roman"/>
                              <w:kern w:val="2"/>
                              <w:sz w:val="18"/>
                              <w:szCs w:val="24"/>
                              <w:lang w:val="en-US" w:eastAsia="zh-CN" w:bidi="ar-SA"/>
                            </w:rPr>
                            <w:fldChar w:fldCharType="begin"/>
                          </w:r>
                          <w:r>
                            <w:rPr>
                              <w:rFonts w:ascii="宋体" w:hAnsi="宋体" w:eastAsia="宋体" w:cs="Times New Roman"/>
                              <w:kern w:val="2"/>
                              <w:sz w:val="18"/>
                              <w:szCs w:val="24"/>
                              <w:lang w:val="en-US" w:eastAsia="zh-CN" w:bidi="ar-S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宋体" w:hAnsi="宋体" w:eastAsia="宋体" w:cs="Times New Roman"/>
                              <w:kern w:val="2"/>
                              <w:sz w:val="18"/>
                              <w:szCs w:val="24"/>
                              <w:lang w:val="en-US" w:eastAsia="zh-CN" w:bidi="ar-SA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 w:eastAsia="宋体" w:cs="Times New Roman"/>
                              <w:kern w:val="2"/>
                              <w:sz w:val="18"/>
                              <w:szCs w:val="24"/>
                              <w:lang w:val="en-US" w:eastAsia="zh-CN" w:bidi="ar-SA"/>
                            </w:rPr>
                            <w:t>3</w:t>
                          </w:r>
                          <w:r>
                            <w:rPr>
                              <w:rFonts w:ascii="宋体" w:hAnsi="宋体" w:eastAsia="宋体" w:cs="Times New Roman"/>
                              <w:kern w:val="2"/>
                              <w:sz w:val="18"/>
                              <w:szCs w:val="24"/>
                              <w:lang w:val="en-US" w:eastAsia="zh-CN" w:bidi="ar-S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1312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NIka7DICAABj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widowControl w:val="0"/>
                      <w:snapToGrid w:val="0"/>
                      <w:jc w:val="left"/>
                      <w:rPr>
                        <w:rFonts w:ascii="宋体" w:hAnsi="宋体" w:eastAsia="宋体" w:cs="Times New Roman"/>
                        <w:kern w:val="2"/>
                        <w:sz w:val="18"/>
                        <w:szCs w:val="24"/>
                        <w:lang w:val="en-US" w:eastAsia="zh-CN" w:bidi="ar-SA"/>
                      </w:rPr>
                    </w:pPr>
                    <w:r>
                      <w:rPr>
                        <w:rFonts w:ascii="宋体" w:hAnsi="宋体" w:eastAsia="宋体" w:cs="Times New Roman"/>
                        <w:kern w:val="2"/>
                        <w:sz w:val="18"/>
                        <w:szCs w:val="24"/>
                        <w:lang w:val="en-US" w:eastAsia="zh-CN" w:bidi="ar-SA"/>
                      </w:rPr>
                      <w:fldChar w:fldCharType="begin"/>
                    </w:r>
                    <w:r>
                      <w:rPr>
                        <w:rFonts w:ascii="宋体" w:hAnsi="宋体" w:eastAsia="宋体" w:cs="Times New Roman"/>
                        <w:kern w:val="2"/>
                        <w:sz w:val="18"/>
                        <w:szCs w:val="24"/>
                        <w:lang w:val="en-US" w:eastAsia="zh-CN" w:bidi="ar-SA"/>
                      </w:rPr>
                      <w:instrText xml:space="preserve"> PAGE  \* MERGEFORMAT </w:instrText>
                    </w:r>
                    <w:r>
                      <w:rPr>
                        <w:rFonts w:ascii="宋体" w:hAnsi="宋体" w:eastAsia="宋体" w:cs="Times New Roman"/>
                        <w:kern w:val="2"/>
                        <w:sz w:val="18"/>
                        <w:szCs w:val="24"/>
                        <w:lang w:val="en-US" w:eastAsia="zh-CN" w:bidi="ar-SA"/>
                      </w:rPr>
                      <w:fldChar w:fldCharType="separate"/>
                    </w:r>
                    <w:r>
                      <w:rPr>
                        <w:rFonts w:ascii="宋体" w:hAnsi="宋体" w:eastAsia="宋体" w:cs="Times New Roman"/>
                        <w:kern w:val="2"/>
                        <w:sz w:val="18"/>
                        <w:szCs w:val="24"/>
                        <w:lang w:val="en-US" w:eastAsia="zh-CN" w:bidi="ar-SA"/>
                      </w:rPr>
                      <w:t>3</w:t>
                    </w:r>
                    <w:r>
                      <w:rPr>
                        <w:rFonts w:ascii="宋体" w:hAnsi="宋体" w:eastAsia="宋体" w:cs="Times New Roman"/>
                        <w:kern w:val="2"/>
                        <w:sz w:val="18"/>
                        <w:szCs w:val="24"/>
                        <w:lang w:val="en-US" w:eastAsia="zh-CN" w:bidi="ar-S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jMxYzQ1YmI5NzdmMWYyNWEyYzM0ODljYjcwNWY0MzYifQ=="/>
  </w:docVars>
  <w:rsids>
    <w:rsidRoot w:val="00750B6B"/>
    <w:rsid w:val="000D311C"/>
    <w:rsid w:val="002179A0"/>
    <w:rsid w:val="0038748C"/>
    <w:rsid w:val="006240BC"/>
    <w:rsid w:val="00750B6B"/>
    <w:rsid w:val="008E68AA"/>
    <w:rsid w:val="009D4F87"/>
    <w:rsid w:val="00B56FE4"/>
    <w:rsid w:val="00CB789A"/>
    <w:rsid w:val="00DF7241"/>
    <w:rsid w:val="00E54D24"/>
    <w:rsid w:val="00ED23A0"/>
    <w:rsid w:val="01490A86"/>
    <w:rsid w:val="02FE20CD"/>
    <w:rsid w:val="032D650E"/>
    <w:rsid w:val="03FB5C0A"/>
    <w:rsid w:val="058C5C3D"/>
    <w:rsid w:val="059D2EC5"/>
    <w:rsid w:val="067610D2"/>
    <w:rsid w:val="07AD3233"/>
    <w:rsid w:val="09116625"/>
    <w:rsid w:val="09925345"/>
    <w:rsid w:val="09CE3AAA"/>
    <w:rsid w:val="0A1E6EF7"/>
    <w:rsid w:val="0AD660A2"/>
    <w:rsid w:val="0B43055C"/>
    <w:rsid w:val="0CFB1DDE"/>
    <w:rsid w:val="0DEF2194"/>
    <w:rsid w:val="0ED04434"/>
    <w:rsid w:val="10833754"/>
    <w:rsid w:val="12FC3297"/>
    <w:rsid w:val="17DB2585"/>
    <w:rsid w:val="19894BF4"/>
    <w:rsid w:val="1E15397F"/>
    <w:rsid w:val="1E9A27FE"/>
    <w:rsid w:val="248D42C2"/>
    <w:rsid w:val="26F93EB7"/>
    <w:rsid w:val="27BF3329"/>
    <w:rsid w:val="280A0C2F"/>
    <w:rsid w:val="2BA40C7F"/>
    <w:rsid w:val="2F5236DC"/>
    <w:rsid w:val="2F5A74B3"/>
    <w:rsid w:val="2FEC14A4"/>
    <w:rsid w:val="31815A44"/>
    <w:rsid w:val="318E26C1"/>
    <w:rsid w:val="323D05F5"/>
    <w:rsid w:val="32EB5A64"/>
    <w:rsid w:val="33887C9E"/>
    <w:rsid w:val="35951A65"/>
    <w:rsid w:val="3828064F"/>
    <w:rsid w:val="38392E37"/>
    <w:rsid w:val="3B0125B5"/>
    <w:rsid w:val="3C5A4AF4"/>
    <w:rsid w:val="403B001A"/>
    <w:rsid w:val="41FC0749"/>
    <w:rsid w:val="43FA3C0F"/>
    <w:rsid w:val="440910F8"/>
    <w:rsid w:val="445124F6"/>
    <w:rsid w:val="46476845"/>
    <w:rsid w:val="470D6E20"/>
    <w:rsid w:val="472A4528"/>
    <w:rsid w:val="489E3D34"/>
    <w:rsid w:val="4B0E5CB7"/>
    <w:rsid w:val="4EB3049E"/>
    <w:rsid w:val="4F7D4521"/>
    <w:rsid w:val="50A867A1"/>
    <w:rsid w:val="53367F96"/>
    <w:rsid w:val="5451487A"/>
    <w:rsid w:val="596F3246"/>
    <w:rsid w:val="5A8552E8"/>
    <w:rsid w:val="5AB67EAC"/>
    <w:rsid w:val="5BBF196F"/>
    <w:rsid w:val="5D2A7AA3"/>
    <w:rsid w:val="5D4E7BB9"/>
    <w:rsid w:val="5E8E2980"/>
    <w:rsid w:val="60545FFD"/>
    <w:rsid w:val="64942E6C"/>
    <w:rsid w:val="67521809"/>
    <w:rsid w:val="679B2B7B"/>
    <w:rsid w:val="6BC964B1"/>
    <w:rsid w:val="6BE56AA0"/>
    <w:rsid w:val="6BF74A33"/>
    <w:rsid w:val="6CAE4CE7"/>
    <w:rsid w:val="6F706F3D"/>
    <w:rsid w:val="6FAB7FC8"/>
    <w:rsid w:val="702E5FBB"/>
    <w:rsid w:val="72421BD8"/>
    <w:rsid w:val="74C52793"/>
    <w:rsid w:val="750005B2"/>
    <w:rsid w:val="75812F99"/>
    <w:rsid w:val="775E3A30"/>
    <w:rsid w:val="7AC35E02"/>
    <w:rsid w:val="7B19339C"/>
    <w:rsid w:val="7D1C4579"/>
    <w:rsid w:val="7D4C025B"/>
    <w:rsid w:val="7FC368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iPriority="99" w:semiHidden="0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unhideWhenUsed/>
    <w:qFormat/>
    <w:uiPriority w:val="99"/>
    <w:pPr>
      <w:ind w:firstLine="420" w:firstLineChars="200"/>
    </w:pPr>
    <w:rPr>
      <w:rFonts w:ascii="Times New Roman" w:hAnsi="Times New Roman"/>
      <w:color w:val="000000"/>
      <w:kern w:val="0"/>
      <w:szCs w:val="21"/>
    </w:rPr>
  </w:style>
  <w:style w:type="paragraph" w:styleId="3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semiHidden/>
    <w:unhideWhenUsed/>
    <w:qFormat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7">
    <w:name w:val="Table Grid"/>
    <w:basedOn w:val="6"/>
    <w:qFormat/>
    <w:uiPriority w:val="39"/>
    <w:pPr>
      <w:widowControl w:val="0"/>
      <w:jc w:val="both"/>
    </w:pPr>
    <w:rPr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Hyperlink"/>
    <w:basedOn w:val="8"/>
    <w:semiHidden/>
    <w:unhideWhenUsed/>
    <w:qFormat/>
    <w:uiPriority w:val="99"/>
    <w:rPr>
      <w:color w:val="0000FF"/>
      <w:u w:val="single"/>
    </w:rPr>
  </w:style>
  <w:style w:type="paragraph" w:styleId="10">
    <w:name w:val="List Paragraph"/>
    <w:basedOn w:val="1"/>
    <w:qFormat/>
    <w:uiPriority w:val="34"/>
    <w:pPr>
      <w:ind w:firstLine="420" w:firstLineChars="200"/>
    </w:pPr>
  </w:style>
  <w:style w:type="character" w:customStyle="1" w:styleId="11">
    <w:name w:val="页眉 Char"/>
    <w:basedOn w:val="8"/>
    <w:link w:val="4"/>
    <w:qFormat/>
    <w:uiPriority w:val="99"/>
    <w:rPr>
      <w:sz w:val="18"/>
      <w:szCs w:val="18"/>
    </w:rPr>
  </w:style>
  <w:style w:type="character" w:customStyle="1" w:styleId="12">
    <w:name w:val="页脚 Char"/>
    <w:basedOn w:val="8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1.png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11</Pages>
  <Words>3644</Words>
  <Characters>3822</Characters>
  <Lines>27</Lines>
  <Paragraphs>29</Paragraphs>
  <TotalTime>23</TotalTime>
  <ScaleCrop>false</ScaleCrop>
  <LinksUpToDate>false</LinksUpToDate>
  <CharactersWithSpaces>3847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2022-10-20T09:32:00Z</dcterms:created>
  <dc:creator>Zhou</dc:creator>
  <cp:lastModifiedBy>文若</cp:lastModifiedBy>
  <cp:lastPrinted>2022-11-22T02:23:00Z</cp:lastPrinted>
  <dcterms:modified xsi:type="dcterms:W3CDTF">2023-03-27T11:24:21Z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3623EE22060846F59FFF629FAB4EBD5B</vt:lpwstr>
  </property>
</Properties>
</file>